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45" w:rsidRPr="003B6345" w:rsidRDefault="003B6345" w:rsidP="003B6345">
      <w:pPr>
        <w:spacing w:line="240" w:lineRule="auto"/>
        <w:jc w:val="both"/>
        <w:rPr>
          <w:rFonts w:ascii="Arial Narrow" w:hAnsi="Arial Narrow"/>
          <w:b/>
        </w:rPr>
      </w:pPr>
      <w:bookmarkStart w:id="0" w:name="_GoBack"/>
      <w:bookmarkEnd w:id="0"/>
      <w:r w:rsidRPr="003B6345">
        <w:rPr>
          <w:rFonts w:ascii="Arial Narrow" w:hAnsi="Arial Narrow"/>
          <w:b/>
        </w:rPr>
        <w:t>La educación inclusiva desde el enfoque de capacidades</w:t>
      </w:r>
    </w:p>
    <w:p w:rsidR="00230075" w:rsidRPr="00B50935" w:rsidRDefault="00230075" w:rsidP="00B50935">
      <w:pPr>
        <w:spacing w:line="240" w:lineRule="auto"/>
        <w:jc w:val="both"/>
        <w:rPr>
          <w:rFonts w:ascii="Arial Narrow" w:hAnsi="Arial Narrow"/>
          <w:b/>
        </w:rPr>
      </w:pPr>
      <w:r w:rsidRPr="00B50935">
        <w:rPr>
          <w:rFonts w:ascii="Arial Narrow" w:hAnsi="Arial Narrow"/>
          <w:b/>
        </w:rPr>
        <w:t>"Preparado para presentar en la V Conferencia de la Asociación Latinoamericana y del Caribe para el Desarrollo Humano y el Enfoque de Capacidades, Lima, Perú, del 14 al 16 de mayo 2014”</w:t>
      </w:r>
    </w:p>
    <w:p w:rsidR="00230075" w:rsidRPr="00B50935" w:rsidRDefault="00230075" w:rsidP="00B50935">
      <w:pPr>
        <w:spacing w:line="240" w:lineRule="auto"/>
        <w:jc w:val="both"/>
        <w:rPr>
          <w:rFonts w:ascii="Arial Narrow" w:hAnsi="Arial Narrow"/>
        </w:rPr>
      </w:pPr>
      <w:r w:rsidRPr="00B50935">
        <w:rPr>
          <w:rFonts w:ascii="Arial Narrow" w:hAnsi="Arial Narrow"/>
        </w:rPr>
        <w:t>Renata Bregaglio: Coordinadora académica y de investigaciones del Instituto de Democracia y Derechos Humanos de la PUCP (IDEHPUCP). Correo electrónico: renata.bregaglio@pucp.pe</w:t>
      </w:r>
    </w:p>
    <w:p w:rsidR="003B6345" w:rsidRDefault="00230075" w:rsidP="00B50935">
      <w:pPr>
        <w:spacing w:line="240" w:lineRule="auto"/>
        <w:jc w:val="both"/>
        <w:rPr>
          <w:rFonts w:ascii="Arial Narrow" w:hAnsi="Arial Narrow"/>
        </w:rPr>
      </w:pPr>
      <w:r w:rsidRPr="00B50935">
        <w:rPr>
          <w:rFonts w:ascii="Arial Narrow" w:hAnsi="Arial Narrow"/>
        </w:rPr>
        <w:t>Renato Constantino: Bachiller en Derecho por la PUCP. Investigador del Instituto de Democracia y Derechos Humanos de la PUCP (IDEHPUCP). Correo electrónico: renato.constantino@pucp.edu.pe</w:t>
      </w:r>
    </w:p>
    <w:p w:rsidR="00230075" w:rsidRPr="00B50935" w:rsidRDefault="00230075" w:rsidP="00B50935">
      <w:pPr>
        <w:spacing w:line="240" w:lineRule="auto"/>
        <w:jc w:val="both"/>
        <w:rPr>
          <w:rFonts w:ascii="Arial Narrow" w:hAnsi="Arial Narrow"/>
        </w:rPr>
      </w:pPr>
      <w:r w:rsidRPr="00B50935">
        <w:rPr>
          <w:rFonts w:ascii="Arial Narrow" w:hAnsi="Arial Narrow"/>
          <w:b/>
        </w:rPr>
        <w:t>Sumilla</w:t>
      </w:r>
    </w:p>
    <w:p w:rsidR="00230075" w:rsidRPr="00B50935" w:rsidRDefault="00230075" w:rsidP="00B50935">
      <w:pPr>
        <w:spacing w:line="240" w:lineRule="auto"/>
        <w:jc w:val="both"/>
        <w:rPr>
          <w:rFonts w:ascii="Arial Narrow" w:hAnsi="Arial Narrow"/>
        </w:rPr>
      </w:pPr>
      <w:r w:rsidRPr="00B50935">
        <w:rPr>
          <w:rFonts w:ascii="Arial Narrow" w:hAnsi="Arial Narrow"/>
        </w:rPr>
        <w:t xml:space="preserve">La educación inclusiva se plantea como un espacio en el que las prácticas institucionales de la educación se buscan adaptar a niños con discapacidad. La presente ponencia analizará esta práctica desde el lente del enfoque de desarrollo de capacidades. Para ello, se analizará el impacto en el desarrollo humano que tiene la inversión en este rubro. El enfoque de desarrollo </w:t>
      </w:r>
      <w:r w:rsidR="006A6C5D" w:rsidRPr="00B50935">
        <w:rPr>
          <w:rFonts w:ascii="Arial Narrow" w:hAnsi="Arial Narrow"/>
        </w:rPr>
        <w:t xml:space="preserve">de </w:t>
      </w:r>
      <w:r w:rsidRPr="00B50935">
        <w:rPr>
          <w:rFonts w:ascii="Arial Narrow" w:hAnsi="Arial Narrow"/>
        </w:rPr>
        <w:t xml:space="preserve">capacidades </w:t>
      </w:r>
      <w:r w:rsidR="006A6C5D" w:rsidRPr="00B50935">
        <w:rPr>
          <w:rFonts w:ascii="Arial Narrow" w:hAnsi="Arial Narrow"/>
        </w:rPr>
        <w:t xml:space="preserve">ha criticado </w:t>
      </w:r>
      <w:r w:rsidRPr="00B50935">
        <w:rPr>
          <w:rFonts w:ascii="Arial Narrow" w:hAnsi="Arial Narrow"/>
        </w:rPr>
        <w:t>la omisión de las personas con discapacidad en las teorías de justicia. No obstante, el debate recién ha empezado por lo que es necesario plan</w:t>
      </w:r>
      <w:r w:rsidR="006A6C5D" w:rsidRPr="00B50935">
        <w:rPr>
          <w:rFonts w:ascii="Arial Narrow" w:hAnsi="Arial Narrow"/>
        </w:rPr>
        <w:t>tear los alcances y límites</w:t>
      </w:r>
      <w:r w:rsidRPr="00B50935">
        <w:rPr>
          <w:rFonts w:ascii="Arial Narrow" w:hAnsi="Arial Narrow"/>
        </w:rPr>
        <w:t xml:space="preserve"> del enfoque de capacidades </w:t>
      </w:r>
      <w:r w:rsidR="006A6C5D" w:rsidRPr="00B50935">
        <w:rPr>
          <w:rFonts w:ascii="Arial Narrow" w:hAnsi="Arial Narrow"/>
        </w:rPr>
        <w:t>para este caso</w:t>
      </w:r>
      <w:r w:rsidRPr="00B50935">
        <w:rPr>
          <w:rFonts w:ascii="Arial Narrow" w:hAnsi="Arial Narrow"/>
        </w:rPr>
        <w:t xml:space="preserve">. La ponencia apunta a reconocer los aspectos que la educación inclusiva logra desarrollar en las personas con discapacidad y en la sociedad en general como un espacio de generación de ciudadanía. </w:t>
      </w:r>
    </w:p>
    <w:p w:rsidR="006A6C5D" w:rsidRPr="00B50935" w:rsidRDefault="006A6C5D" w:rsidP="00B50935">
      <w:pPr>
        <w:spacing w:line="240" w:lineRule="auto"/>
        <w:jc w:val="both"/>
        <w:rPr>
          <w:rFonts w:ascii="Arial Narrow" w:hAnsi="Arial Narrow"/>
        </w:rPr>
      </w:pPr>
      <w:r w:rsidRPr="00B50935">
        <w:rPr>
          <w:rFonts w:ascii="Arial Narrow" w:hAnsi="Arial Narrow"/>
          <w:b/>
        </w:rPr>
        <w:t>Palabras  clave</w:t>
      </w:r>
      <w:r w:rsidRPr="00B50935">
        <w:rPr>
          <w:rFonts w:ascii="Arial Narrow" w:hAnsi="Arial Narrow"/>
        </w:rPr>
        <w:t>: educación inclusiva, discapacidad, desarrollo de capacidades</w:t>
      </w:r>
    </w:p>
    <w:p w:rsidR="006A6C5D" w:rsidRPr="00B50935" w:rsidRDefault="006A6C5D" w:rsidP="00B50935">
      <w:pPr>
        <w:spacing w:line="240" w:lineRule="auto"/>
        <w:jc w:val="both"/>
        <w:rPr>
          <w:rFonts w:ascii="Arial Narrow" w:hAnsi="Arial Narrow"/>
        </w:rPr>
      </w:pPr>
      <w:r w:rsidRPr="00B50935">
        <w:rPr>
          <w:rFonts w:ascii="Arial Narrow" w:hAnsi="Arial Narrow"/>
        </w:rPr>
        <w:br w:type="page"/>
      </w:r>
    </w:p>
    <w:p w:rsidR="00ED04AA" w:rsidRPr="00F77020" w:rsidRDefault="00ED04AA" w:rsidP="00ED04AA">
      <w:pPr>
        <w:spacing w:line="240" w:lineRule="auto"/>
        <w:jc w:val="both"/>
        <w:rPr>
          <w:rFonts w:ascii="Arial Narrow" w:hAnsi="Arial Narrow"/>
          <w:b/>
        </w:rPr>
      </w:pPr>
      <w:r w:rsidRPr="00F77020">
        <w:rPr>
          <w:rFonts w:ascii="Arial Narrow" w:hAnsi="Arial Narrow"/>
          <w:b/>
        </w:rPr>
        <w:lastRenderedPageBreak/>
        <w:t>La educación inclusiva desde el enfoque de capacidades</w:t>
      </w:r>
    </w:p>
    <w:p w:rsidR="00ED04AA" w:rsidRPr="00B50935" w:rsidRDefault="00ED04AA" w:rsidP="00ED04AA">
      <w:pPr>
        <w:spacing w:line="240" w:lineRule="auto"/>
        <w:jc w:val="both"/>
        <w:rPr>
          <w:rFonts w:ascii="Arial Narrow" w:hAnsi="Arial Narrow"/>
          <w:b/>
        </w:rPr>
      </w:pPr>
      <w:r w:rsidRPr="00B50935">
        <w:rPr>
          <w:rFonts w:ascii="Arial Narrow" w:hAnsi="Arial Narrow"/>
          <w:b/>
        </w:rPr>
        <w:t xml:space="preserve">1. </w:t>
      </w:r>
      <w:r>
        <w:rPr>
          <w:rFonts w:ascii="Arial Narrow" w:hAnsi="Arial Narrow"/>
          <w:b/>
        </w:rPr>
        <w:t xml:space="preserve">El rol de la </w:t>
      </w:r>
      <w:r w:rsidRPr="00B50935">
        <w:rPr>
          <w:rFonts w:ascii="Arial Narrow" w:hAnsi="Arial Narrow"/>
          <w:b/>
        </w:rPr>
        <w:t xml:space="preserve">educación </w:t>
      </w:r>
      <w:r>
        <w:rPr>
          <w:rFonts w:ascii="Arial Narrow" w:hAnsi="Arial Narrow"/>
          <w:b/>
        </w:rPr>
        <w:t>en la teoría d</w:t>
      </w:r>
      <w:r w:rsidRPr="00B50935">
        <w:rPr>
          <w:rFonts w:ascii="Arial Narrow" w:hAnsi="Arial Narrow"/>
          <w:b/>
        </w:rPr>
        <w:t>el enfoque de capacidades</w:t>
      </w:r>
    </w:p>
    <w:p w:rsidR="0089760A" w:rsidRPr="00B50935" w:rsidRDefault="0089760A" w:rsidP="00B50935">
      <w:pPr>
        <w:spacing w:line="240" w:lineRule="auto"/>
        <w:jc w:val="both"/>
        <w:rPr>
          <w:rFonts w:ascii="Arial Narrow" w:hAnsi="Arial Narrow"/>
        </w:rPr>
      </w:pPr>
      <w:r w:rsidRPr="00B50935">
        <w:rPr>
          <w:rFonts w:ascii="Arial Narrow" w:hAnsi="Arial Narrow"/>
        </w:rPr>
        <w:t>La educación es uno de los derechos de mayor consagración normativa en el ámbito internacional.</w:t>
      </w:r>
      <w:r w:rsidR="005F5772" w:rsidRPr="00B50935">
        <w:rPr>
          <w:rFonts w:ascii="Arial Narrow" w:hAnsi="Arial Narrow"/>
          <w:vertAlign w:val="superscript"/>
        </w:rPr>
        <w:footnoteReference w:id="1"/>
      </w:r>
      <w:r w:rsidRPr="00B50935">
        <w:rPr>
          <w:rFonts w:ascii="Arial Narrow" w:hAnsi="Arial Narrow"/>
        </w:rPr>
        <w:t xml:space="preserve"> Tal carácter se puede atribuir </w:t>
      </w:r>
      <w:r w:rsidR="00AC4468">
        <w:rPr>
          <w:rFonts w:ascii="Arial Narrow" w:hAnsi="Arial Narrow"/>
        </w:rPr>
        <w:t>su importancia:</w:t>
      </w:r>
      <w:r w:rsidRPr="00B50935">
        <w:rPr>
          <w:rFonts w:ascii="Arial Narrow" w:hAnsi="Arial Narrow"/>
        </w:rPr>
        <w:t xml:space="preserve"> </w:t>
      </w:r>
      <w:r w:rsidR="00AC4468">
        <w:rPr>
          <w:rFonts w:ascii="Arial Narrow" w:hAnsi="Arial Narrow"/>
        </w:rPr>
        <w:t>n</w:t>
      </w:r>
      <w:r w:rsidRPr="00B50935">
        <w:rPr>
          <w:rFonts w:ascii="Arial Narrow" w:hAnsi="Arial Narrow"/>
        </w:rPr>
        <w:t>o solamente se constituye como un derecho sino que habilita el ejercicio de otros derechos.</w:t>
      </w:r>
      <w:r w:rsidR="00171682" w:rsidRPr="00B50935">
        <w:rPr>
          <w:rFonts w:ascii="Arial Narrow" w:hAnsi="Arial Narrow"/>
          <w:vertAlign w:val="superscript"/>
        </w:rPr>
        <w:footnoteReference w:id="2"/>
      </w:r>
      <w:r w:rsidR="00171682" w:rsidRPr="00B50935">
        <w:rPr>
          <w:rFonts w:ascii="Arial Narrow" w:hAnsi="Arial Narrow" w:cs="Arial"/>
          <w:vertAlign w:val="superscript"/>
        </w:rPr>
        <w:t xml:space="preserve"> </w:t>
      </w:r>
      <w:r w:rsidR="00171682" w:rsidRPr="00B50935">
        <w:rPr>
          <w:rFonts w:ascii="Arial Narrow" w:hAnsi="Arial Narrow" w:cs="Arial"/>
        </w:rPr>
        <w:t xml:space="preserve">Así, es posible identificar diversas situaciones en las cuales el haber podido </w:t>
      </w:r>
      <w:r w:rsidR="005F5772" w:rsidRPr="00B50935">
        <w:rPr>
          <w:rFonts w:ascii="Arial Narrow" w:hAnsi="Arial Narrow" w:cs="Arial"/>
        </w:rPr>
        <w:t xml:space="preserve">acceder a </w:t>
      </w:r>
      <w:r w:rsidR="00171682" w:rsidRPr="00B50935">
        <w:rPr>
          <w:rFonts w:ascii="Arial Narrow" w:hAnsi="Arial Narrow" w:cs="Arial"/>
        </w:rPr>
        <w:t xml:space="preserve">educación posibilita </w:t>
      </w:r>
      <w:r w:rsidR="00ED04AA">
        <w:rPr>
          <w:rFonts w:ascii="Arial Narrow" w:hAnsi="Arial Narrow" w:cs="Arial"/>
        </w:rPr>
        <w:t xml:space="preserve">el ejericio de </w:t>
      </w:r>
      <w:r w:rsidR="00171682" w:rsidRPr="00B50935">
        <w:rPr>
          <w:rFonts w:ascii="Arial Narrow" w:hAnsi="Arial Narrow" w:cs="Arial"/>
        </w:rPr>
        <w:t>otros derechos</w:t>
      </w:r>
      <w:r w:rsidR="00ED04AA">
        <w:rPr>
          <w:rFonts w:ascii="Arial Narrow" w:hAnsi="Arial Narrow" w:cs="Arial"/>
        </w:rPr>
        <w:t>,</w:t>
      </w:r>
      <w:r w:rsidR="00171682" w:rsidRPr="00B50935">
        <w:rPr>
          <w:rFonts w:ascii="Arial Narrow" w:hAnsi="Arial Narrow" w:cs="Arial"/>
        </w:rPr>
        <w:t xml:space="preserve"> como el derecho al trabajo</w:t>
      </w:r>
      <w:r w:rsidR="00ED04AA">
        <w:rPr>
          <w:rFonts w:ascii="Arial Narrow" w:hAnsi="Arial Narrow" w:cs="Arial"/>
        </w:rPr>
        <w:t>,</w:t>
      </w:r>
      <w:r w:rsidR="00171682" w:rsidRPr="00B50935">
        <w:rPr>
          <w:rFonts w:ascii="Arial Narrow" w:hAnsi="Arial Narrow" w:cs="Arial"/>
        </w:rPr>
        <w:t xml:space="preserve"> o permite un mejor </w:t>
      </w:r>
      <w:r w:rsidR="005F5772" w:rsidRPr="00B50935">
        <w:rPr>
          <w:rFonts w:ascii="Arial Narrow" w:hAnsi="Arial Narrow"/>
        </w:rPr>
        <w:t>ejercicio de la libertad de expresión o los derechos civiles y políticos.</w:t>
      </w:r>
      <w:r w:rsidR="007915AB" w:rsidRPr="00B50935">
        <w:rPr>
          <w:rFonts w:ascii="Arial Narrow" w:hAnsi="Arial Narrow"/>
        </w:rPr>
        <w:t xml:space="preserve"> De la misma forma, se ha identificado que la educación es el “principal medio que permite a adultos y menores marginados económica y socialmente salir de la pobreza y participar plenamente en sus comunidades”.</w:t>
      </w:r>
      <w:r w:rsidR="007915AB" w:rsidRPr="00B50935">
        <w:rPr>
          <w:rFonts w:ascii="Arial Narrow" w:hAnsi="Arial Narrow"/>
          <w:vertAlign w:val="superscript"/>
        </w:rPr>
        <w:footnoteReference w:id="3"/>
      </w:r>
      <w:r w:rsidR="007915AB" w:rsidRPr="00B50935">
        <w:rPr>
          <w:rFonts w:ascii="Arial Narrow" w:hAnsi="Arial Narrow"/>
        </w:rPr>
        <w:t xml:space="preserve"> También es un elemento vital para la formación de una sociedad democrática</w:t>
      </w:r>
      <w:r w:rsidR="007915AB" w:rsidRPr="00B50935">
        <w:rPr>
          <w:rStyle w:val="Refdenotaalpie"/>
          <w:rFonts w:ascii="Arial Narrow" w:hAnsi="Arial Narrow"/>
        </w:rPr>
        <w:footnoteReference w:id="4"/>
      </w:r>
      <w:r w:rsidR="007915AB" w:rsidRPr="00B50935">
        <w:rPr>
          <w:rFonts w:ascii="Arial Narrow" w:hAnsi="Arial Narrow"/>
        </w:rPr>
        <w:t xml:space="preserve"> y para la creación de una sociedad solidaria.</w:t>
      </w:r>
      <w:r w:rsidR="007915AB" w:rsidRPr="00B50935">
        <w:rPr>
          <w:rStyle w:val="Refdenotaalpie"/>
          <w:rFonts w:ascii="Arial Narrow" w:hAnsi="Arial Narrow"/>
        </w:rPr>
        <w:footnoteReference w:id="5"/>
      </w:r>
    </w:p>
    <w:p w:rsidR="00ED04AA" w:rsidRDefault="00AD1AA7" w:rsidP="00B50935">
      <w:pPr>
        <w:spacing w:line="240" w:lineRule="auto"/>
        <w:jc w:val="both"/>
        <w:rPr>
          <w:rFonts w:ascii="Arial Narrow" w:hAnsi="Arial Narrow"/>
        </w:rPr>
      </w:pPr>
      <w:r w:rsidRPr="00AD1AA7">
        <w:rPr>
          <w:rFonts w:ascii="Arial Narrow" w:hAnsi="Arial Narrow"/>
        </w:rPr>
        <w:t>Desde el enfoque de capacidades se plantea que no son los funcionamientos los que determinan la libertad de la persona</w:t>
      </w:r>
      <w:r w:rsidR="00ED04AA">
        <w:rPr>
          <w:rFonts w:ascii="Arial Narrow" w:hAnsi="Arial Narrow"/>
        </w:rPr>
        <w:t>,</w:t>
      </w:r>
      <w:r w:rsidRPr="00AD1AA7">
        <w:rPr>
          <w:rFonts w:ascii="Arial Narrow" w:hAnsi="Arial Narrow"/>
        </w:rPr>
        <w:t xml:space="preserve"> sino sus capacidades. Así, </w:t>
      </w:r>
      <w:r w:rsidR="00ED04AA">
        <w:rPr>
          <w:rFonts w:ascii="Arial Narrow" w:hAnsi="Arial Narrow"/>
        </w:rPr>
        <w:t xml:space="preserve">en el clásico ejemplo de Sen, </w:t>
      </w:r>
      <w:r w:rsidRPr="00AD1AA7">
        <w:rPr>
          <w:rFonts w:ascii="Arial Narrow" w:hAnsi="Arial Narrow"/>
        </w:rPr>
        <w:t>una persona que ayuna o que decide no votar estaría, bajo otros enfoques</w:t>
      </w:r>
      <w:r w:rsidR="00ED04AA">
        <w:rPr>
          <w:rFonts w:ascii="Arial Narrow" w:hAnsi="Arial Narrow"/>
        </w:rPr>
        <w:t xml:space="preserve"> (como un enfoque economicista)</w:t>
      </w:r>
      <w:r w:rsidRPr="00AD1AA7">
        <w:rPr>
          <w:rFonts w:ascii="Arial Narrow" w:hAnsi="Arial Narrow"/>
        </w:rPr>
        <w:t xml:space="preserve">, al mismo nivel que una persona que no tiene qué comer o que se ve impedida de votar. No obstante, </w:t>
      </w:r>
      <w:r w:rsidR="00ED04AA">
        <w:rPr>
          <w:rFonts w:ascii="Arial Narrow" w:hAnsi="Arial Narrow"/>
        </w:rPr>
        <w:t xml:space="preserve">desde el enfoque de capacidades, no </w:t>
      </w:r>
      <w:r w:rsidRPr="00AD1AA7">
        <w:rPr>
          <w:rFonts w:ascii="Arial Narrow" w:hAnsi="Arial Narrow"/>
        </w:rPr>
        <w:t>son los funcionamientos lo determinante</w:t>
      </w:r>
      <w:r w:rsidR="00ED04AA">
        <w:rPr>
          <w:rFonts w:ascii="Arial Narrow" w:hAnsi="Arial Narrow"/>
        </w:rPr>
        <w:t xml:space="preserve">, </w:t>
      </w:r>
      <w:r w:rsidRPr="00AD1AA7">
        <w:rPr>
          <w:rFonts w:ascii="Arial Narrow" w:hAnsi="Arial Narrow"/>
        </w:rPr>
        <w:t>sino la posibilidad de elegir libremente los funcionamientos</w:t>
      </w:r>
      <w:r w:rsidR="00ED04AA">
        <w:rPr>
          <w:rFonts w:ascii="Arial Narrow" w:hAnsi="Arial Narrow"/>
        </w:rPr>
        <w:t>, es decir, de ejercer capacidades</w:t>
      </w:r>
      <w:r w:rsidRPr="00AD1AA7">
        <w:rPr>
          <w:rFonts w:ascii="Arial Narrow" w:hAnsi="Arial Narrow"/>
        </w:rPr>
        <w:t>.</w:t>
      </w:r>
      <w:r w:rsidRPr="00AD1AA7">
        <w:rPr>
          <w:rFonts w:ascii="Arial Narrow" w:hAnsi="Arial Narrow"/>
          <w:vertAlign w:val="superscript"/>
        </w:rPr>
        <w:footnoteReference w:id="6"/>
      </w:r>
      <w:r w:rsidRPr="00AD1AA7">
        <w:rPr>
          <w:rFonts w:ascii="Arial Narrow" w:hAnsi="Arial Narrow"/>
        </w:rPr>
        <w:t xml:space="preserve"> </w:t>
      </w:r>
      <w:r w:rsidR="00ED04AA">
        <w:rPr>
          <w:rFonts w:ascii="Arial Narrow" w:hAnsi="Arial Narrow"/>
        </w:rPr>
        <w:t>L</w:t>
      </w:r>
      <w:r w:rsidR="00ED04AA" w:rsidRPr="00B50935">
        <w:rPr>
          <w:rFonts w:ascii="Arial Narrow" w:hAnsi="Arial Narrow"/>
        </w:rPr>
        <w:t>as capacidades</w:t>
      </w:r>
      <w:r w:rsidR="00ED04AA">
        <w:rPr>
          <w:rFonts w:ascii="Arial Narrow" w:hAnsi="Arial Narrow"/>
        </w:rPr>
        <w:t xml:space="preserve"> serán por tanto,</w:t>
      </w:r>
      <w:r w:rsidR="00ED04AA" w:rsidRPr="00B50935">
        <w:rPr>
          <w:rFonts w:ascii="Arial Narrow" w:hAnsi="Arial Narrow"/>
        </w:rPr>
        <w:t xml:space="preserve"> “formas de hacer efectiva una vida con dignidad humana en las diferentes áreas de actividad de una vida humana típica”.</w:t>
      </w:r>
      <w:r w:rsidR="00ED04AA" w:rsidRPr="00B50935">
        <w:rPr>
          <w:rStyle w:val="Refdenotaalpie"/>
          <w:rFonts w:ascii="Arial Narrow" w:hAnsi="Arial Narrow"/>
        </w:rPr>
        <w:footnoteReference w:id="7"/>
      </w:r>
    </w:p>
    <w:p w:rsidR="00ED04AA" w:rsidRDefault="00ED04AA" w:rsidP="00B50935">
      <w:pPr>
        <w:spacing w:line="240" w:lineRule="auto"/>
        <w:jc w:val="both"/>
        <w:rPr>
          <w:rFonts w:ascii="Arial Narrow" w:hAnsi="Arial Narrow"/>
        </w:rPr>
      </w:pPr>
      <w:r>
        <w:rPr>
          <w:rFonts w:ascii="Arial Narrow" w:hAnsi="Arial Narrow"/>
        </w:rPr>
        <w:t>Pero Nussbaum va más allá. Dentro de este desarrollo de capacidades necesario para el desarrollo humano, no toda</w:t>
      </w:r>
      <w:r w:rsidR="009A15B1">
        <w:rPr>
          <w:rFonts w:ascii="Arial Narrow" w:hAnsi="Arial Narrow"/>
        </w:rPr>
        <w:t>s</w:t>
      </w:r>
      <w:r>
        <w:rPr>
          <w:rFonts w:ascii="Arial Narrow" w:hAnsi="Arial Narrow"/>
        </w:rPr>
        <w:t xml:space="preserve"> las capacidades tienen igual importancia. Nussbaum plantea entonces lo que llama las </w:t>
      </w:r>
      <w:r w:rsidR="00112354">
        <w:rPr>
          <w:rFonts w:ascii="Arial Narrow" w:hAnsi="Arial Narrow"/>
        </w:rPr>
        <w:t>“diez</w:t>
      </w:r>
      <w:r>
        <w:rPr>
          <w:rFonts w:ascii="Arial Narrow" w:hAnsi="Arial Narrow"/>
        </w:rPr>
        <w:t xml:space="preserve"> capacidades centrales”, destacando a su vez, dentro de estas, la afiliación  (poder vivir con los demás seres humanos y prevenir condiciones de humillación) y </w:t>
      </w:r>
      <w:r w:rsidR="009A15B1">
        <w:rPr>
          <w:rFonts w:ascii="Arial Narrow" w:hAnsi="Arial Narrow"/>
        </w:rPr>
        <w:t xml:space="preserve">la </w:t>
      </w:r>
      <w:r>
        <w:rPr>
          <w:rFonts w:ascii="Arial Narrow" w:hAnsi="Arial Narrow"/>
        </w:rPr>
        <w:t>razón práctica (formarse una concepción del bieny reflexionar criticamente sobre la propia vida).</w:t>
      </w:r>
      <w:r>
        <w:rPr>
          <w:rStyle w:val="Refdenotaalpie"/>
          <w:rFonts w:ascii="Arial Narrow" w:hAnsi="Arial Narrow"/>
        </w:rPr>
        <w:footnoteReference w:id="8"/>
      </w:r>
    </w:p>
    <w:p w:rsidR="00833A08" w:rsidRPr="00B50935" w:rsidRDefault="00ED04AA" w:rsidP="00B50935">
      <w:pPr>
        <w:spacing w:line="240" w:lineRule="auto"/>
        <w:jc w:val="both"/>
        <w:rPr>
          <w:rFonts w:ascii="Arial Narrow" w:hAnsi="Arial Narrow"/>
        </w:rPr>
      </w:pPr>
      <w:r>
        <w:rPr>
          <w:rFonts w:ascii="Arial Narrow" w:hAnsi="Arial Narrow"/>
        </w:rPr>
        <w:t>En este contexto de capacidades</w:t>
      </w:r>
      <w:r w:rsidR="00923221" w:rsidRPr="00B50935">
        <w:rPr>
          <w:rFonts w:ascii="Arial Narrow" w:hAnsi="Arial Narrow"/>
        </w:rPr>
        <w:t xml:space="preserve">, la educación es un aspecto fundamental para </w:t>
      </w:r>
      <w:r>
        <w:rPr>
          <w:rFonts w:ascii="Arial Narrow" w:hAnsi="Arial Narrow"/>
        </w:rPr>
        <w:t xml:space="preserve">su </w:t>
      </w:r>
      <w:r w:rsidR="00923221" w:rsidRPr="00B50935">
        <w:rPr>
          <w:rFonts w:ascii="Arial Narrow" w:hAnsi="Arial Narrow"/>
        </w:rPr>
        <w:t>aplicación</w:t>
      </w:r>
      <w:r w:rsidR="009A15B1">
        <w:rPr>
          <w:rFonts w:ascii="Arial Narrow" w:hAnsi="Arial Narrow"/>
        </w:rPr>
        <w:t>.</w:t>
      </w:r>
      <w:r w:rsidR="00923221" w:rsidRPr="00B50935">
        <w:rPr>
          <w:rFonts w:ascii="Arial Narrow" w:hAnsi="Arial Narrow"/>
        </w:rPr>
        <w:t xml:space="preserve"> </w:t>
      </w:r>
      <w:r>
        <w:rPr>
          <w:rFonts w:ascii="Arial Narrow" w:hAnsi="Arial Narrow"/>
        </w:rPr>
        <w:t>C</w:t>
      </w:r>
      <w:r w:rsidR="001949E7" w:rsidRPr="00B50935">
        <w:rPr>
          <w:rFonts w:ascii="Arial Narrow" w:hAnsi="Arial Narrow"/>
        </w:rPr>
        <w:t>omo señala la misma autora, la posibilidad de potenciar las capacidades humanas depende, entre otras cosas, de la educación y la implantación de un sistema educativo</w:t>
      </w:r>
      <w:r w:rsidR="001949E7" w:rsidRPr="00B50935">
        <w:rPr>
          <w:rStyle w:val="Refdenotaalpie"/>
          <w:rFonts w:ascii="Arial Narrow" w:hAnsi="Arial Narrow"/>
        </w:rPr>
        <w:footnoteReference w:id="9"/>
      </w:r>
      <w:r w:rsidR="00833A08" w:rsidRPr="00B50935">
        <w:rPr>
          <w:rFonts w:ascii="Arial Narrow" w:hAnsi="Arial Narrow"/>
        </w:rPr>
        <w:t>, incluso llegando a la obligatoriedad de tales medidas.</w:t>
      </w:r>
      <w:r w:rsidR="00833A08" w:rsidRPr="00B50935">
        <w:rPr>
          <w:rStyle w:val="Refdenotaalpie"/>
          <w:rFonts w:ascii="Arial Narrow" w:hAnsi="Arial Narrow"/>
        </w:rPr>
        <w:footnoteReference w:id="10"/>
      </w:r>
      <w:r w:rsidR="00833A08" w:rsidRPr="00B50935">
        <w:rPr>
          <w:rFonts w:ascii="Arial Narrow" w:hAnsi="Arial Narrow"/>
        </w:rPr>
        <w:t xml:space="preserve"> </w:t>
      </w:r>
      <w:r w:rsidR="00392601">
        <w:rPr>
          <w:rFonts w:ascii="Arial Narrow" w:hAnsi="Arial Narrow"/>
        </w:rPr>
        <w:t xml:space="preserve">Si las capacidades, en lenguaje de Nussbaum, </w:t>
      </w:r>
      <w:r w:rsidR="009A15B1">
        <w:rPr>
          <w:rFonts w:ascii="Arial Narrow" w:hAnsi="Arial Narrow"/>
        </w:rPr>
        <w:t>son</w:t>
      </w:r>
      <w:r w:rsidR="00392601">
        <w:rPr>
          <w:rFonts w:ascii="Arial Narrow" w:hAnsi="Arial Narrow"/>
        </w:rPr>
        <w:t xml:space="preserve"> aquello que permite al ser humano el desarrollo de condiciones dignas de existencia; la educación (el fomento de dichas capacidades), en un lenguaje de derechos, es lo que condiciona y predetermina la forma en la que ser humano ejercerá más adelante otros derechos. </w:t>
      </w:r>
      <w:r w:rsidR="00AD1AA7">
        <w:rPr>
          <w:rFonts w:ascii="Arial Narrow" w:hAnsi="Arial Narrow"/>
        </w:rPr>
        <w:t>Por ello, es posible señalar que se podrá tener más acceso a capacidades</w:t>
      </w:r>
      <w:r w:rsidR="00392601">
        <w:rPr>
          <w:rFonts w:ascii="Arial Narrow" w:hAnsi="Arial Narrow"/>
        </w:rPr>
        <w:t xml:space="preserve">, potencionar las </w:t>
      </w:r>
      <w:r w:rsidR="00392601">
        <w:rPr>
          <w:rFonts w:ascii="Arial Narrow" w:hAnsi="Arial Narrow"/>
        </w:rPr>
        <w:lastRenderedPageBreak/>
        <w:t>capacidades existentes,</w:t>
      </w:r>
      <w:r w:rsidR="00AD1AA7">
        <w:rPr>
          <w:rFonts w:ascii="Arial Narrow" w:hAnsi="Arial Narrow"/>
        </w:rPr>
        <w:t xml:space="preserve"> cuando se pueda acceder a una educación</w:t>
      </w:r>
      <w:r w:rsidR="00AC4468">
        <w:rPr>
          <w:rFonts w:ascii="Arial Narrow" w:hAnsi="Arial Narrow"/>
        </w:rPr>
        <w:t xml:space="preserve"> que cumpla con los estándares de</w:t>
      </w:r>
      <w:r w:rsidR="00AD1AA7">
        <w:rPr>
          <w:rFonts w:ascii="Arial Narrow" w:hAnsi="Arial Narrow"/>
        </w:rPr>
        <w:t xml:space="preserve"> disponib</w:t>
      </w:r>
      <w:r w:rsidR="00AC4468">
        <w:rPr>
          <w:rFonts w:ascii="Arial Narrow" w:hAnsi="Arial Narrow"/>
        </w:rPr>
        <w:t>ilidad</w:t>
      </w:r>
      <w:r w:rsidR="00AD1AA7">
        <w:rPr>
          <w:rFonts w:ascii="Arial Narrow" w:hAnsi="Arial Narrow"/>
        </w:rPr>
        <w:t>, accesib</w:t>
      </w:r>
      <w:r w:rsidR="00AC4468">
        <w:rPr>
          <w:rFonts w:ascii="Arial Narrow" w:hAnsi="Arial Narrow"/>
        </w:rPr>
        <w:t>ilidad</w:t>
      </w:r>
      <w:r w:rsidR="00AD1AA7">
        <w:rPr>
          <w:rFonts w:ascii="Arial Narrow" w:hAnsi="Arial Narrow"/>
        </w:rPr>
        <w:t>, adaptab</w:t>
      </w:r>
      <w:r w:rsidR="00AC4468">
        <w:rPr>
          <w:rFonts w:ascii="Arial Narrow" w:hAnsi="Arial Narrow"/>
        </w:rPr>
        <w:t>ilidad</w:t>
      </w:r>
      <w:r w:rsidR="00AD1AA7">
        <w:rPr>
          <w:rFonts w:ascii="Arial Narrow" w:hAnsi="Arial Narrow"/>
        </w:rPr>
        <w:t xml:space="preserve"> y aceptab</w:t>
      </w:r>
      <w:r w:rsidR="00AC4468">
        <w:rPr>
          <w:rFonts w:ascii="Arial Narrow" w:hAnsi="Arial Narrow"/>
        </w:rPr>
        <w:t>ilidad</w:t>
      </w:r>
      <w:r w:rsidR="00AD1AA7">
        <w:rPr>
          <w:rFonts w:ascii="Arial Narrow" w:hAnsi="Arial Narrow"/>
        </w:rPr>
        <w:t>.</w:t>
      </w:r>
      <w:r w:rsidR="00AD1AA7">
        <w:rPr>
          <w:rStyle w:val="Refdenotaalpie"/>
          <w:rFonts w:ascii="Arial Narrow" w:hAnsi="Arial Narrow"/>
        </w:rPr>
        <w:footnoteReference w:id="11"/>
      </w:r>
      <w:r w:rsidR="001949E7" w:rsidRPr="00B50935">
        <w:rPr>
          <w:rFonts w:ascii="Arial Narrow" w:hAnsi="Arial Narrow"/>
        </w:rPr>
        <w:t xml:space="preserve"> </w:t>
      </w:r>
    </w:p>
    <w:p w:rsidR="00112354" w:rsidRDefault="00132E92" w:rsidP="00B50935">
      <w:pPr>
        <w:spacing w:line="240" w:lineRule="auto"/>
        <w:jc w:val="both"/>
        <w:rPr>
          <w:rFonts w:ascii="Arial Narrow" w:hAnsi="Arial Narrow"/>
        </w:rPr>
      </w:pPr>
      <w:r w:rsidRPr="00B50935">
        <w:rPr>
          <w:rFonts w:ascii="Arial Narrow" w:hAnsi="Arial Narrow"/>
        </w:rPr>
        <w:t>No obstante lo anterio</w:t>
      </w:r>
      <w:r w:rsidR="00392601">
        <w:rPr>
          <w:rFonts w:ascii="Arial Narrow" w:hAnsi="Arial Narrow"/>
        </w:rPr>
        <w:t>r</w:t>
      </w:r>
      <w:r w:rsidRPr="00B50935">
        <w:rPr>
          <w:rFonts w:ascii="Arial Narrow" w:hAnsi="Arial Narrow"/>
        </w:rPr>
        <w:t xml:space="preserve">, </w:t>
      </w:r>
      <w:r w:rsidR="00392601">
        <w:rPr>
          <w:rFonts w:ascii="Arial Narrow" w:hAnsi="Arial Narrow"/>
        </w:rPr>
        <w:t>la educación como espacio de fomento de las capacidades no es accesible para todos por igual</w:t>
      </w:r>
      <w:r w:rsidR="00112354">
        <w:rPr>
          <w:rFonts w:ascii="Arial Narrow" w:hAnsi="Arial Narrow"/>
        </w:rPr>
        <w:t>: d</w:t>
      </w:r>
      <w:r w:rsidR="00112354" w:rsidRPr="00B50935">
        <w:rPr>
          <w:rFonts w:ascii="Arial Narrow" w:hAnsi="Arial Narrow"/>
        </w:rPr>
        <w:t xml:space="preserve">e acuerdo a la información oficial, más del 60% de las personas con discapacidad en </w:t>
      </w:r>
      <w:r w:rsidR="00112354">
        <w:rPr>
          <w:rFonts w:ascii="Arial Narrow" w:hAnsi="Arial Narrow"/>
        </w:rPr>
        <w:t xml:space="preserve">el Perú </w:t>
      </w:r>
      <w:r w:rsidR="00112354" w:rsidRPr="00B50935">
        <w:rPr>
          <w:rFonts w:ascii="Arial Narrow" w:hAnsi="Arial Narrow"/>
        </w:rPr>
        <w:t>no han culminado la educación básica</w:t>
      </w:r>
      <w:r w:rsidR="00112354">
        <w:rPr>
          <w:rFonts w:ascii="Arial Narrow" w:hAnsi="Arial Narrow"/>
        </w:rPr>
        <w:t>,</w:t>
      </w:r>
      <w:r w:rsidR="00112354" w:rsidRPr="00B50935">
        <w:rPr>
          <w:rFonts w:ascii="Arial Narrow" w:hAnsi="Arial Narrow"/>
          <w:vertAlign w:val="superscript"/>
        </w:rPr>
        <w:footnoteReference w:id="12"/>
      </w:r>
      <w:r w:rsidR="00112354">
        <w:rPr>
          <w:rFonts w:ascii="Arial Narrow" w:hAnsi="Arial Narrow"/>
        </w:rPr>
        <w:t xml:space="preserve"> y sin duda dentro de este colectivo de personas con discapcidad sin educación, las personas con discapacidad intelectual cuentan con un acceso menor. Ello porque el modelo educativo ha estado pensado hasta hace relativamente poco en t</w:t>
      </w:r>
      <w:r w:rsidR="009A15B1">
        <w:rPr>
          <w:rFonts w:ascii="Arial Narrow" w:hAnsi="Arial Narrow"/>
        </w:rPr>
        <w:t>é</w:t>
      </w:r>
      <w:r w:rsidR="00112354">
        <w:rPr>
          <w:rFonts w:ascii="Arial Narrow" w:hAnsi="Arial Narrow"/>
        </w:rPr>
        <w:t>rminos de potenciar las capacidades de aquellos sujetos que pueden alcanzar esas diez capacidades centrales de las que habla Nussbaum. Una persona con Síndrome Down o con un retardo mental severo podría no de</w:t>
      </w:r>
      <w:r w:rsidR="009A15B1">
        <w:rPr>
          <w:rFonts w:ascii="Arial Narrow" w:hAnsi="Arial Narrow"/>
        </w:rPr>
        <w:t>sa</w:t>
      </w:r>
      <w:r w:rsidR="00112354">
        <w:rPr>
          <w:rFonts w:ascii="Arial Narrow" w:hAnsi="Arial Narrow"/>
        </w:rPr>
        <w:t>rrollar esas diez capacidades, o incluso las dos capacidad</w:t>
      </w:r>
      <w:r w:rsidR="009A15B1">
        <w:rPr>
          <w:rFonts w:ascii="Arial Narrow" w:hAnsi="Arial Narrow"/>
        </w:rPr>
        <w:t>es</w:t>
      </w:r>
      <w:r w:rsidR="00112354">
        <w:rPr>
          <w:rFonts w:ascii="Arial Narrow" w:hAnsi="Arial Narrow"/>
        </w:rPr>
        <w:t xml:space="preserve"> estructurales. Esto por dos razones, que de alguna manera van en sentidos difer</w:t>
      </w:r>
      <w:r w:rsidR="009A15B1">
        <w:rPr>
          <w:rFonts w:ascii="Arial Narrow" w:hAnsi="Arial Narrow"/>
        </w:rPr>
        <w:t>e</w:t>
      </w:r>
      <w:r w:rsidR="00112354">
        <w:rPr>
          <w:rFonts w:ascii="Arial Narrow" w:hAnsi="Arial Narrow"/>
        </w:rPr>
        <w:t xml:space="preserve">ntes: por un lado no todas  las personas con discapacidad intelectual acceden a un sistema educativo regular, e incluso respecto a quienes acceden, cabe preguntarse si la educación recibida es equiparable a la de una persona </w:t>
      </w:r>
      <w:r w:rsidR="009A15B1">
        <w:rPr>
          <w:rFonts w:ascii="Arial Narrow" w:hAnsi="Arial Narrow"/>
        </w:rPr>
        <w:t xml:space="preserve">que </w:t>
      </w:r>
      <w:r w:rsidR="00112354">
        <w:rPr>
          <w:rFonts w:ascii="Arial Narrow" w:hAnsi="Arial Narrow"/>
        </w:rPr>
        <w:t>no presente discapacidad, y si el servicio educativo brindado a una persona con discapacidad intelectual permitirá lograr un óptimo desarrollo de capacidades de manera que permita una vida autónoma. Ante ello cabe preguntarse entonces cómo se configura el enfoque de capacidades frente a las personas con discapacidad intelectual, y qué rol juega en esa configuración la educación.</w:t>
      </w:r>
    </w:p>
    <w:p w:rsidR="007B04A6" w:rsidRPr="00B50935" w:rsidRDefault="0089760A" w:rsidP="00B50935">
      <w:pPr>
        <w:spacing w:line="240" w:lineRule="auto"/>
        <w:jc w:val="both"/>
        <w:rPr>
          <w:rFonts w:ascii="Arial Narrow" w:hAnsi="Arial Narrow"/>
          <w:b/>
        </w:rPr>
      </w:pPr>
      <w:r w:rsidRPr="00B50935">
        <w:rPr>
          <w:rFonts w:ascii="Arial Narrow" w:hAnsi="Arial Narrow"/>
          <w:b/>
        </w:rPr>
        <w:t xml:space="preserve">2. </w:t>
      </w:r>
      <w:r w:rsidR="00132E92" w:rsidRPr="00B50935">
        <w:rPr>
          <w:rFonts w:ascii="Arial Narrow" w:hAnsi="Arial Narrow"/>
          <w:b/>
        </w:rPr>
        <w:t xml:space="preserve">La </w:t>
      </w:r>
      <w:r w:rsidRPr="00B50935">
        <w:rPr>
          <w:rFonts w:ascii="Arial Narrow" w:hAnsi="Arial Narrow"/>
          <w:b/>
        </w:rPr>
        <w:t>discapacidad y el enfoque de capacidades</w:t>
      </w:r>
    </w:p>
    <w:p w:rsidR="00132E92" w:rsidRPr="00B50935" w:rsidRDefault="00AD1AA7" w:rsidP="00B50935">
      <w:pPr>
        <w:spacing w:line="240" w:lineRule="auto"/>
        <w:jc w:val="both"/>
        <w:rPr>
          <w:rFonts w:ascii="Arial Narrow" w:hAnsi="Arial Narrow"/>
        </w:rPr>
      </w:pPr>
      <w:r>
        <w:rPr>
          <w:rFonts w:ascii="Arial Narrow" w:hAnsi="Arial Narrow"/>
        </w:rPr>
        <w:t xml:space="preserve">El modelo social </w:t>
      </w:r>
      <w:r w:rsidR="00C864ED">
        <w:rPr>
          <w:rFonts w:ascii="Arial Narrow" w:hAnsi="Arial Narrow"/>
        </w:rPr>
        <w:t>es una respuesta teórica a diversas políticas sociales destinadas a favorecer a las personas con discapacidad. Los autores que apuestan por este modelo teórico señalan que la discapacidad no puede ser vista como un problema de la persona</w:t>
      </w:r>
      <w:r w:rsidR="00FE6639">
        <w:rPr>
          <w:rFonts w:ascii="Arial Narrow" w:hAnsi="Arial Narrow"/>
        </w:rPr>
        <w:t xml:space="preserve">, </w:t>
      </w:r>
      <w:r w:rsidR="00C864ED">
        <w:rPr>
          <w:rFonts w:ascii="Arial Narrow" w:hAnsi="Arial Narrow"/>
        </w:rPr>
        <w:t>sino que debe ser visto como un problema de la sociedad</w:t>
      </w:r>
      <w:r w:rsidR="00FE6639">
        <w:rPr>
          <w:rFonts w:ascii="Arial Narrow" w:hAnsi="Arial Narrow"/>
        </w:rPr>
        <w:t>: es la sociedad la que genera barreras frente a la deficiencia de una persona:</w:t>
      </w:r>
      <w:r w:rsidR="00FE6639">
        <w:rPr>
          <w:rStyle w:val="Refdenotaalpie"/>
          <w:rFonts w:ascii="Arial Narrow" w:hAnsi="Arial Narrow"/>
        </w:rPr>
        <w:footnoteReference w:id="13"/>
      </w:r>
      <w:r w:rsidR="00C864ED">
        <w:rPr>
          <w:rFonts w:ascii="Arial Narrow" w:hAnsi="Arial Narrow"/>
        </w:rPr>
        <w:t xml:space="preserve"> </w:t>
      </w:r>
      <w:r w:rsidR="00FE6639" w:rsidRPr="00B50935">
        <w:rPr>
          <w:rFonts w:ascii="Arial Narrow" w:hAnsi="Arial Narrow"/>
        </w:rPr>
        <w:t xml:space="preserve">Dichas barreras pueden ser de orden arquitectónico, jurídico, social o actitudinal. </w:t>
      </w:r>
      <w:r w:rsidR="00C91001">
        <w:rPr>
          <w:rFonts w:ascii="Arial Narrow" w:hAnsi="Arial Narrow"/>
        </w:rPr>
        <w:t xml:space="preserve">De esta manera, se superan los enfoques </w:t>
      </w:r>
      <w:r w:rsidR="00021C15">
        <w:rPr>
          <w:rFonts w:ascii="Arial Narrow" w:hAnsi="Arial Narrow"/>
        </w:rPr>
        <w:t>previos basados únicamente en la mirada sobre la person</w:t>
      </w:r>
      <w:r w:rsidR="00FE6639">
        <w:rPr>
          <w:rFonts w:ascii="Arial Narrow" w:hAnsi="Arial Narrow"/>
        </w:rPr>
        <w:t xml:space="preserve">a. Si bien </w:t>
      </w:r>
      <w:r w:rsidR="00021C15">
        <w:rPr>
          <w:rFonts w:ascii="Arial Narrow" w:hAnsi="Arial Narrow"/>
        </w:rPr>
        <w:t>no se niega la existencia de una deficiencia</w:t>
      </w:r>
      <w:r w:rsidR="006F5D4D">
        <w:rPr>
          <w:rFonts w:ascii="Arial Narrow" w:hAnsi="Arial Narrow"/>
        </w:rPr>
        <w:t xml:space="preserve"> ni la necesidad de apoyos o asistencia</w:t>
      </w:r>
      <w:r w:rsidR="00FE6639">
        <w:rPr>
          <w:rFonts w:ascii="Arial Narrow" w:hAnsi="Arial Narrow"/>
        </w:rPr>
        <w:t>,</w:t>
      </w:r>
      <w:r w:rsidR="006F5D4D">
        <w:rPr>
          <w:rFonts w:ascii="Arial Narrow" w:hAnsi="Arial Narrow"/>
        </w:rPr>
        <w:t xml:space="preserve"> la exclusión en el ejercicio de derechos viene determinado por barreras externas a la persona.</w:t>
      </w:r>
      <w:r w:rsidR="006F5D4D">
        <w:rPr>
          <w:rStyle w:val="Refdenotaalpie"/>
          <w:rFonts w:ascii="Arial Narrow" w:hAnsi="Arial Narrow"/>
        </w:rPr>
        <w:footnoteReference w:id="14"/>
      </w:r>
      <w:r w:rsidR="006F5D4D">
        <w:rPr>
          <w:rFonts w:ascii="Arial Narrow" w:hAnsi="Arial Narrow"/>
        </w:rPr>
        <w:t xml:space="preserve"> </w:t>
      </w:r>
      <w:r w:rsidR="00FE6639">
        <w:rPr>
          <w:rFonts w:ascii="Arial Narrow" w:hAnsi="Arial Narrow"/>
        </w:rPr>
        <w:t xml:space="preserve">Las políticas que se implementen </w:t>
      </w:r>
      <w:r w:rsidR="009A15B1">
        <w:rPr>
          <w:rFonts w:ascii="Arial Narrow" w:hAnsi="Arial Narrow"/>
        </w:rPr>
        <w:t xml:space="preserve">para evitar la exclusión </w:t>
      </w:r>
      <w:r w:rsidR="00FE6639">
        <w:rPr>
          <w:rFonts w:ascii="Arial Narrow" w:hAnsi="Arial Narrow"/>
        </w:rPr>
        <w:t>deben ir dirigidas a la sociedad y no a la persona.</w:t>
      </w:r>
      <w:r w:rsidR="00FE6639">
        <w:rPr>
          <w:rStyle w:val="Refdenotaalpie"/>
          <w:rFonts w:ascii="Arial Narrow" w:hAnsi="Arial Narrow"/>
        </w:rPr>
        <w:footnoteReference w:id="15"/>
      </w:r>
      <w:r w:rsidR="00FE6639">
        <w:rPr>
          <w:rFonts w:ascii="Arial Narrow" w:hAnsi="Arial Narrow"/>
        </w:rPr>
        <w:t xml:space="preserve"> </w:t>
      </w:r>
    </w:p>
    <w:p w:rsidR="008E661F" w:rsidRDefault="00FE6639" w:rsidP="008E661F">
      <w:pPr>
        <w:spacing w:line="240" w:lineRule="auto"/>
        <w:jc w:val="both"/>
        <w:rPr>
          <w:rFonts w:ascii="Arial Narrow" w:hAnsi="Arial Narrow"/>
        </w:rPr>
      </w:pPr>
      <w:r>
        <w:rPr>
          <w:rFonts w:ascii="Arial Narrow" w:hAnsi="Arial Narrow"/>
        </w:rPr>
        <w:t>Bajo este modelo surge la necesidad de reconfigurar el enfoque de capacidades. La misma Nussbaum advierte el problema de la discapacidad como un problema social</w:t>
      </w:r>
      <w:r w:rsidR="00F3125C">
        <w:rPr>
          <w:rFonts w:ascii="Arial Narrow" w:hAnsi="Arial Narrow"/>
        </w:rPr>
        <w:t>, al afirmar para las personas con discapacidad física, ciegas y sordas que “su falta de productividad no es natural, sino producto de una organización social discriminatoria”.</w:t>
      </w:r>
      <w:r w:rsidR="00224963">
        <w:rPr>
          <w:rStyle w:val="Refdenotaalpie"/>
          <w:rFonts w:ascii="Arial Narrow" w:hAnsi="Arial Narrow"/>
        </w:rPr>
        <w:footnoteReference w:id="16"/>
      </w:r>
      <w:r w:rsidR="00F3125C">
        <w:rPr>
          <w:rFonts w:ascii="Arial Narrow" w:hAnsi="Arial Narrow"/>
        </w:rPr>
        <w:t xml:space="preserve"> </w:t>
      </w:r>
      <w:r w:rsidR="008E661F">
        <w:rPr>
          <w:rFonts w:ascii="Arial Narrow" w:hAnsi="Arial Narrow"/>
        </w:rPr>
        <w:t xml:space="preserve">Nussbaum intenta salvar la capacidad de actuar en el ámbito social de las personas con discapacidad. </w:t>
      </w:r>
      <w:r w:rsidR="008E661F" w:rsidRPr="00B50935">
        <w:rPr>
          <w:rFonts w:ascii="Arial Narrow" w:hAnsi="Arial Narrow"/>
        </w:rPr>
        <w:t>Esto se condice con la idea clave del modelo social de establecer la discapacidad como una interacción de la</w:t>
      </w:r>
      <w:r w:rsidR="008E661F">
        <w:rPr>
          <w:rFonts w:ascii="Arial Narrow" w:hAnsi="Arial Narrow"/>
        </w:rPr>
        <w:t xml:space="preserve"> </w:t>
      </w:r>
      <w:r w:rsidR="008E661F" w:rsidRPr="00B50935">
        <w:rPr>
          <w:rFonts w:ascii="Arial Narrow" w:hAnsi="Arial Narrow"/>
        </w:rPr>
        <w:t>deficiencia y la barrera de la sociedad. Así, por ejemplo, de acuerdo al modelo social, una persona con ceguera no puede ver pero su discapacidad empieza cuando no puede encontrar materiales en Braille para ejercer su derecho al voto.</w:t>
      </w:r>
    </w:p>
    <w:p w:rsidR="008E661F" w:rsidRDefault="008E661F" w:rsidP="008E661F">
      <w:pPr>
        <w:spacing w:line="240" w:lineRule="auto"/>
        <w:jc w:val="both"/>
        <w:rPr>
          <w:rFonts w:ascii="Arial Narrow" w:hAnsi="Arial Narrow"/>
        </w:rPr>
      </w:pPr>
      <w:r>
        <w:rPr>
          <w:rFonts w:ascii="Arial Narrow" w:hAnsi="Arial Narrow"/>
        </w:rPr>
        <w:t xml:space="preserve">A diferencia de Rawls, para quien las personas con discapacidad (en especial la intelectual o psicosocial) no son tomadas en cuenta como un factor relevante para el contrato social, aunque pueda ser un problema que </w:t>
      </w:r>
      <w:r>
        <w:rPr>
          <w:rFonts w:ascii="Arial Narrow" w:hAnsi="Arial Narrow"/>
        </w:rPr>
        <w:lastRenderedPageBreak/>
        <w:t>debe atender dicho acuerdo,</w:t>
      </w:r>
      <w:r>
        <w:rPr>
          <w:rStyle w:val="Refdenotaalpie"/>
          <w:rFonts w:ascii="Arial Narrow" w:hAnsi="Arial Narrow"/>
        </w:rPr>
        <w:footnoteReference w:id="17"/>
      </w:r>
      <w:r w:rsidRPr="00B50935">
        <w:rPr>
          <w:rFonts w:ascii="Arial Narrow" w:hAnsi="Arial Narrow"/>
        </w:rPr>
        <w:t xml:space="preserve"> </w:t>
      </w:r>
      <w:r>
        <w:rPr>
          <w:rFonts w:ascii="Arial Narrow" w:hAnsi="Arial Narrow"/>
        </w:rPr>
        <w:t>la propuesta de Nussbaum busca confrontar la teoría de la justicia de Rawls y señalarle ciertos vacíos. El primero de ellos corresponde a la forma en que Rawls define al agente que participa del contrato social como “racionales y mutuamente desinteresados”.</w:t>
      </w:r>
      <w:r>
        <w:rPr>
          <w:rStyle w:val="Refdenotaalpie"/>
          <w:rFonts w:ascii="Arial Narrow" w:hAnsi="Arial Narrow"/>
        </w:rPr>
        <w:footnoteReference w:id="18"/>
      </w:r>
      <w:r>
        <w:rPr>
          <w:rFonts w:ascii="Arial Narrow" w:hAnsi="Arial Narrow"/>
        </w:rPr>
        <w:t xml:space="preserve"> Tal hecho excluye evidentemente la posibilidad de que la persona con discapacidad mental o intelectual participe directamente del debate que da inicio a las instituciones. Si bien esto no significa su exclusión de políticas afirmativas, sí le impide diseñar las instituciones que deberán realizar tales políticas. </w:t>
      </w:r>
    </w:p>
    <w:p w:rsidR="008E661F" w:rsidRDefault="008E661F" w:rsidP="008E661F">
      <w:pPr>
        <w:spacing w:line="240" w:lineRule="auto"/>
        <w:jc w:val="both"/>
        <w:rPr>
          <w:rFonts w:ascii="Arial Narrow" w:hAnsi="Arial Narrow"/>
        </w:rPr>
      </w:pPr>
      <w:r>
        <w:rPr>
          <w:rFonts w:ascii="Arial Narrow" w:hAnsi="Arial Narrow"/>
        </w:rPr>
        <w:t>En segundo lugar, Nussbaum señala que la propia idea del contrato parte de los “beneficios derivados de la cooperación mutua”.</w:t>
      </w:r>
      <w:r>
        <w:rPr>
          <w:rStyle w:val="Refdenotaalpie"/>
          <w:rFonts w:ascii="Arial Narrow" w:hAnsi="Arial Narrow"/>
        </w:rPr>
        <w:footnoteReference w:id="19"/>
      </w:r>
      <w:r>
        <w:rPr>
          <w:rFonts w:ascii="Arial Narrow" w:hAnsi="Arial Narrow"/>
        </w:rPr>
        <w:t xml:space="preserve"> En este sentido, la participación de las personas con discapacidad en la sociedad puede no necesariamente ser mutuamente beneficiosa en tanto que los costos de su inclusión podrían superar los de su exclusión.</w:t>
      </w:r>
      <w:r>
        <w:rPr>
          <w:rStyle w:val="Refdenotaalpie"/>
          <w:rFonts w:ascii="Arial Narrow" w:hAnsi="Arial Narrow"/>
        </w:rPr>
        <w:footnoteReference w:id="20"/>
      </w:r>
      <w:r>
        <w:rPr>
          <w:rFonts w:ascii="Arial Narrow" w:hAnsi="Arial Narrow"/>
        </w:rPr>
        <w:t xml:space="preserve"> Incluso al afirmar que la inclusión de personas con discapacidad puede ser beneficiosa, los costos pueden ser bastante altos. Así, la idea inicial de Rawls de cooperación se derrumba en tanto la cooperación solo se da cuando hay beneficios mutuos para los sujetos racionales del contrato social. Como esto puede no suceder siempre en el caso de la discapacidad, la salida de Rawls es la “caridad generosa en un estadio ulterior”.</w:t>
      </w:r>
      <w:r>
        <w:rPr>
          <w:rStyle w:val="Refdenotaalpie"/>
          <w:rFonts w:ascii="Arial Narrow" w:hAnsi="Arial Narrow"/>
        </w:rPr>
        <w:footnoteReference w:id="21"/>
      </w:r>
    </w:p>
    <w:p w:rsidR="008E661F" w:rsidRDefault="008E661F" w:rsidP="008E661F">
      <w:pPr>
        <w:spacing w:line="240" w:lineRule="auto"/>
        <w:jc w:val="both"/>
        <w:rPr>
          <w:rFonts w:ascii="Arial Narrow" w:hAnsi="Arial Narrow"/>
        </w:rPr>
      </w:pPr>
      <w:r w:rsidRPr="00B50935">
        <w:rPr>
          <w:rFonts w:ascii="Arial Narrow" w:hAnsi="Arial Narrow"/>
        </w:rPr>
        <w:t xml:space="preserve">Desde el enfoque de capacidades, se podría decir que la sociedad debe tomar todas las medidas posible para que la persona con ceguera pueda ejercer sus derechos políticos. </w:t>
      </w:r>
      <w:r>
        <w:rPr>
          <w:rFonts w:ascii="Arial Narrow" w:hAnsi="Arial Narrow"/>
        </w:rPr>
        <w:t>C</w:t>
      </w:r>
      <w:r w:rsidRPr="00B50935">
        <w:rPr>
          <w:rFonts w:ascii="Arial Narrow" w:hAnsi="Arial Narrow"/>
        </w:rPr>
        <w:t>omo señala la propia Nussbaum, cuando hablamos sobre las personas con discapacidad “debemos preguntarnos cuáles son los obstáculos que les impiden llegar al umbral adecuado de funcionamiento”.</w:t>
      </w:r>
      <w:r w:rsidRPr="00B50935">
        <w:rPr>
          <w:rFonts w:ascii="Arial Narrow" w:hAnsi="Arial Narrow"/>
          <w:vertAlign w:val="superscript"/>
        </w:rPr>
        <w:footnoteReference w:id="22"/>
      </w:r>
      <w:r w:rsidRPr="00B50935">
        <w:rPr>
          <w:rFonts w:ascii="Arial Narrow" w:hAnsi="Arial Narrow"/>
        </w:rPr>
        <w:t xml:space="preserve"> Así, es posible ver cómo el enfoque de capacidades (útil también para enfrentar las inequidades de género o de minorías culturales) se puede trasladar</w:t>
      </w:r>
      <w:r>
        <w:rPr>
          <w:rFonts w:ascii="Arial Narrow" w:hAnsi="Arial Narrow"/>
        </w:rPr>
        <w:t>, en gran medida,</w:t>
      </w:r>
      <w:r w:rsidRPr="00B50935">
        <w:rPr>
          <w:rFonts w:ascii="Arial Narrow" w:hAnsi="Arial Narrow"/>
        </w:rPr>
        <w:t xml:space="preserve"> al ámbito de la discapacidad de manera exitosa.</w:t>
      </w:r>
    </w:p>
    <w:p w:rsidR="0089760A" w:rsidRDefault="00F3125C" w:rsidP="00284E4C">
      <w:pPr>
        <w:spacing w:line="240" w:lineRule="auto"/>
        <w:jc w:val="both"/>
        <w:rPr>
          <w:rFonts w:ascii="Arial Narrow" w:hAnsi="Arial Narrow"/>
          <w:b/>
        </w:rPr>
      </w:pPr>
      <w:r>
        <w:rPr>
          <w:rFonts w:ascii="Arial Narrow" w:hAnsi="Arial Narrow"/>
        </w:rPr>
        <w:t xml:space="preserve"> No obstante, Nussbaum no planteará una solución par</w:t>
      </w:r>
      <w:r w:rsidR="009A15B1">
        <w:rPr>
          <w:rFonts w:ascii="Arial Narrow" w:hAnsi="Arial Narrow"/>
        </w:rPr>
        <w:t>a</w:t>
      </w:r>
      <w:r>
        <w:rPr>
          <w:rFonts w:ascii="Arial Narrow" w:hAnsi="Arial Narrow"/>
        </w:rPr>
        <w:t xml:space="preserve"> las personas con discapacidad intelectual, pues pareciera asumirse que en estos casos, ni con toda la ayuda de la tecnología, estas personas </w:t>
      </w:r>
      <w:r w:rsidR="000D3908">
        <w:rPr>
          <w:rFonts w:ascii="Arial Narrow" w:hAnsi="Arial Narrow"/>
        </w:rPr>
        <w:t>podrían</w:t>
      </w:r>
      <w:r>
        <w:rPr>
          <w:rFonts w:ascii="Arial Narrow" w:hAnsi="Arial Narrow"/>
        </w:rPr>
        <w:t xml:space="preserve"> desarrollar sus capacidades centrales y convertirse en seres autónomos. S</w:t>
      </w:r>
      <w:r w:rsidR="00170BCC" w:rsidRPr="00B50935">
        <w:rPr>
          <w:rFonts w:ascii="Arial Narrow" w:hAnsi="Arial Narrow"/>
        </w:rPr>
        <w:t>urge la duda</w:t>
      </w:r>
      <w:r>
        <w:rPr>
          <w:rFonts w:ascii="Arial Narrow" w:hAnsi="Arial Narrow"/>
        </w:rPr>
        <w:t xml:space="preserve"> entonces</w:t>
      </w:r>
      <w:r w:rsidR="00170BCC" w:rsidRPr="00B50935">
        <w:rPr>
          <w:rFonts w:ascii="Arial Narrow" w:hAnsi="Arial Narrow"/>
        </w:rPr>
        <w:t xml:space="preserve"> de si acaso </w:t>
      </w:r>
      <w:r w:rsidR="00FE6639">
        <w:rPr>
          <w:rFonts w:ascii="Arial Narrow" w:hAnsi="Arial Narrow"/>
        </w:rPr>
        <w:t xml:space="preserve">se puede </w:t>
      </w:r>
      <w:r w:rsidR="00170BCC" w:rsidRPr="00B50935">
        <w:rPr>
          <w:rFonts w:ascii="Arial Narrow" w:hAnsi="Arial Narrow"/>
        </w:rPr>
        <w:t xml:space="preserve">lograr que </w:t>
      </w:r>
      <w:r>
        <w:rPr>
          <w:rFonts w:ascii="Arial Narrow" w:hAnsi="Arial Narrow"/>
        </w:rPr>
        <w:t xml:space="preserve">el </w:t>
      </w:r>
      <w:r w:rsidR="00E53F77" w:rsidRPr="00B50935">
        <w:rPr>
          <w:rFonts w:ascii="Arial Narrow" w:hAnsi="Arial Narrow"/>
        </w:rPr>
        <w:t xml:space="preserve">modelo </w:t>
      </w:r>
      <w:r>
        <w:rPr>
          <w:rFonts w:ascii="Arial Narrow" w:hAnsi="Arial Narrow"/>
        </w:rPr>
        <w:t xml:space="preserve">social </w:t>
      </w:r>
      <w:r w:rsidR="00E53F77" w:rsidRPr="00B50935">
        <w:rPr>
          <w:rFonts w:ascii="Arial Narrow" w:hAnsi="Arial Narrow"/>
        </w:rPr>
        <w:t xml:space="preserve">interactúe de manera real con el enfoque de capacidades. </w:t>
      </w:r>
    </w:p>
    <w:p w:rsidR="0089760A" w:rsidRDefault="0089760A" w:rsidP="00B50935">
      <w:pPr>
        <w:spacing w:line="240" w:lineRule="auto"/>
        <w:jc w:val="both"/>
        <w:rPr>
          <w:rFonts w:ascii="Arial Narrow" w:hAnsi="Arial Narrow"/>
        </w:rPr>
      </w:pPr>
      <w:r w:rsidRPr="00B50935">
        <w:rPr>
          <w:rFonts w:ascii="Arial Narrow" w:hAnsi="Arial Narrow"/>
          <w:b/>
        </w:rPr>
        <w:t>La respuesta de Nussbaum y sus vacíos</w:t>
      </w:r>
    </w:p>
    <w:p w:rsidR="00043292" w:rsidRPr="000D3908" w:rsidRDefault="00043292" w:rsidP="00B50935">
      <w:pPr>
        <w:spacing w:line="240" w:lineRule="auto"/>
        <w:jc w:val="both"/>
        <w:rPr>
          <w:rFonts w:ascii="Arial Narrow" w:hAnsi="Arial Narrow"/>
        </w:rPr>
      </w:pPr>
      <w:r w:rsidRPr="00043292">
        <w:rPr>
          <w:rFonts w:ascii="Arial Narrow" w:hAnsi="Arial Narrow"/>
        </w:rPr>
        <w:t xml:space="preserve">Si bien </w:t>
      </w:r>
      <w:r w:rsidR="00224963">
        <w:rPr>
          <w:rFonts w:ascii="Arial Narrow" w:hAnsi="Arial Narrow"/>
        </w:rPr>
        <w:t xml:space="preserve">Nussbaum </w:t>
      </w:r>
      <w:r w:rsidRPr="00043292">
        <w:rPr>
          <w:rFonts w:ascii="Arial Narrow" w:hAnsi="Arial Narrow"/>
        </w:rPr>
        <w:t xml:space="preserve">reconoce que </w:t>
      </w:r>
      <w:r w:rsidR="00224963">
        <w:rPr>
          <w:rFonts w:ascii="Arial Narrow" w:hAnsi="Arial Narrow"/>
        </w:rPr>
        <w:t xml:space="preserve">el </w:t>
      </w:r>
      <w:r w:rsidRPr="00043292">
        <w:rPr>
          <w:rFonts w:ascii="Arial Narrow" w:hAnsi="Arial Narrow"/>
        </w:rPr>
        <w:t xml:space="preserve">enfoque </w:t>
      </w:r>
      <w:r w:rsidR="00224963">
        <w:rPr>
          <w:rFonts w:ascii="Arial Narrow" w:hAnsi="Arial Narrow"/>
        </w:rPr>
        <w:t xml:space="preserve">de capacidades </w:t>
      </w:r>
      <w:r w:rsidRPr="00043292">
        <w:rPr>
          <w:rFonts w:ascii="Arial Narrow" w:hAnsi="Arial Narrow"/>
        </w:rPr>
        <w:t>no busca ser una teoría total de la justicia, llama</w:t>
      </w:r>
      <w:r w:rsidR="00224963">
        <w:rPr>
          <w:rFonts w:ascii="Arial Narrow" w:hAnsi="Arial Narrow"/>
        </w:rPr>
        <w:t xml:space="preserve"> </w:t>
      </w:r>
      <w:r w:rsidRPr="00043292">
        <w:rPr>
          <w:rFonts w:ascii="Arial Narrow" w:hAnsi="Arial Narrow"/>
        </w:rPr>
        <w:t xml:space="preserve">la atención su idea de lo que </w:t>
      </w:r>
      <w:r w:rsidR="00224963">
        <w:rPr>
          <w:rFonts w:ascii="Arial Narrow" w:hAnsi="Arial Narrow"/>
        </w:rPr>
        <w:t>“</w:t>
      </w:r>
      <w:r w:rsidRPr="00043292">
        <w:rPr>
          <w:rFonts w:ascii="Arial Narrow" w:hAnsi="Arial Narrow"/>
        </w:rPr>
        <w:t>es digno vivir</w:t>
      </w:r>
      <w:r w:rsidR="00224963">
        <w:rPr>
          <w:rFonts w:ascii="Arial Narrow" w:hAnsi="Arial Narrow"/>
        </w:rPr>
        <w:t>”</w:t>
      </w:r>
      <w:r w:rsidRPr="00043292">
        <w:rPr>
          <w:rFonts w:ascii="Arial Narrow" w:hAnsi="Arial Narrow"/>
        </w:rPr>
        <w:t>. Nussbaum señala que si una de las capacidades no se puede desarrollar</w:t>
      </w:r>
      <w:r w:rsidR="00224963">
        <w:rPr>
          <w:rFonts w:ascii="Arial Narrow" w:hAnsi="Arial Narrow"/>
        </w:rPr>
        <w:t>se</w:t>
      </w:r>
      <w:r w:rsidRPr="00043292">
        <w:rPr>
          <w:rFonts w:ascii="Arial Narrow" w:hAnsi="Arial Narrow"/>
        </w:rPr>
        <w:t xml:space="preserve"> de ninguna forma, “no es una vida plenamente humana, una vida acorde con la dignidad humana”.</w:t>
      </w:r>
      <w:r w:rsidRPr="00043292">
        <w:rPr>
          <w:rFonts w:ascii="Arial Narrow" w:hAnsi="Arial Narrow"/>
          <w:vertAlign w:val="superscript"/>
        </w:rPr>
        <w:footnoteReference w:id="23"/>
      </w:r>
      <w:r w:rsidRPr="00043292">
        <w:rPr>
          <w:rFonts w:ascii="Arial Narrow" w:hAnsi="Arial Narrow"/>
        </w:rPr>
        <w:t xml:space="preserve"> Tal afirmación puede excluir a ciertas personas con discapacidades </w:t>
      </w:r>
      <w:r w:rsidR="00224963">
        <w:rPr>
          <w:rFonts w:ascii="Arial Narrow" w:hAnsi="Arial Narrow"/>
        </w:rPr>
        <w:t xml:space="preserve">intelectuales </w:t>
      </w:r>
      <w:r w:rsidRPr="00043292">
        <w:rPr>
          <w:rFonts w:ascii="Arial Narrow" w:hAnsi="Arial Narrow"/>
        </w:rPr>
        <w:t>severas</w:t>
      </w:r>
      <w:r w:rsidR="00224963">
        <w:rPr>
          <w:rFonts w:ascii="Arial Narrow" w:hAnsi="Arial Narrow"/>
        </w:rPr>
        <w:t>,</w:t>
      </w:r>
      <w:r w:rsidRPr="00043292">
        <w:rPr>
          <w:rFonts w:ascii="Arial Narrow" w:hAnsi="Arial Narrow"/>
        </w:rPr>
        <w:t xml:space="preserve"> en tanto es complicado que puedan alcanzar el nivel mínimo esperado con respecto </w:t>
      </w:r>
      <w:r w:rsidR="00224963">
        <w:rPr>
          <w:rFonts w:ascii="Arial Narrow" w:hAnsi="Arial Narrow"/>
        </w:rPr>
        <w:t>las diez capacidades centrales, y</w:t>
      </w:r>
      <w:r w:rsidR="009A15B1">
        <w:rPr>
          <w:rFonts w:ascii="Arial Narrow" w:hAnsi="Arial Narrow"/>
        </w:rPr>
        <w:t>,</w:t>
      </w:r>
      <w:r w:rsidR="00224963">
        <w:rPr>
          <w:rFonts w:ascii="Arial Narrow" w:hAnsi="Arial Narrow"/>
        </w:rPr>
        <w:t xml:space="preserve"> en particular</w:t>
      </w:r>
      <w:r w:rsidR="009A15B1">
        <w:rPr>
          <w:rFonts w:ascii="Arial Narrow" w:hAnsi="Arial Narrow"/>
        </w:rPr>
        <w:t>,</w:t>
      </w:r>
      <w:r w:rsidR="00224963">
        <w:rPr>
          <w:rFonts w:ascii="Arial Narrow" w:hAnsi="Arial Narrow"/>
        </w:rPr>
        <w:t xml:space="preserve"> a las dos estructurales</w:t>
      </w:r>
      <w:r w:rsidRPr="00043292">
        <w:rPr>
          <w:rFonts w:ascii="Arial Narrow" w:hAnsi="Arial Narrow"/>
        </w:rPr>
        <w:t>.</w:t>
      </w:r>
      <w:r w:rsidRPr="00043292">
        <w:rPr>
          <w:rFonts w:ascii="Arial Narrow" w:hAnsi="Arial Narrow"/>
          <w:vertAlign w:val="superscript"/>
        </w:rPr>
        <w:footnoteReference w:id="24"/>
      </w:r>
      <w:r w:rsidRPr="00043292">
        <w:rPr>
          <w:rFonts w:ascii="Arial Narrow" w:hAnsi="Arial Narrow"/>
        </w:rPr>
        <w:t xml:space="preserve"> Si bien el esfuerzo de Nussbaum para incluir a las personas con discapacidad es importante, su idea de un nivel mínimo de capacidades nos lleva a pensar que hay vidas no dignas de ser vividas.</w:t>
      </w:r>
      <w:r w:rsidRPr="00043292">
        <w:rPr>
          <w:rFonts w:ascii="Arial Narrow" w:hAnsi="Arial Narrow"/>
          <w:vertAlign w:val="superscript"/>
        </w:rPr>
        <w:footnoteReference w:id="25"/>
      </w:r>
      <w:r w:rsidRPr="00043292">
        <w:rPr>
          <w:rFonts w:ascii="Arial Narrow" w:hAnsi="Arial Narrow"/>
        </w:rPr>
        <w:t xml:space="preserve"> Y en estos casos, Nussbaum no ha generado una fórmula de cómo enfrentar dicho problema.</w:t>
      </w:r>
      <w:r w:rsidR="008331F4">
        <w:rPr>
          <w:rFonts w:ascii="Arial Narrow" w:hAnsi="Arial Narrow"/>
        </w:rPr>
        <w:t xml:space="preserve"> Así, parecería que Nussbaum se plantea una diferencia entre ser humano y </w:t>
      </w:r>
      <w:r w:rsidR="008331F4">
        <w:rPr>
          <w:rFonts w:ascii="Arial Narrow" w:hAnsi="Arial Narrow"/>
        </w:rPr>
        <w:lastRenderedPageBreak/>
        <w:t>persona</w:t>
      </w:r>
      <w:r w:rsidR="00D31DE2">
        <w:rPr>
          <w:rStyle w:val="Refdenotaalpie"/>
          <w:rFonts w:ascii="Arial Narrow" w:hAnsi="Arial Narrow"/>
        </w:rPr>
        <w:footnoteReference w:id="26"/>
      </w:r>
      <w:r w:rsidR="008331F4">
        <w:rPr>
          <w:rFonts w:ascii="Arial Narrow" w:hAnsi="Arial Narrow"/>
        </w:rPr>
        <w:t xml:space="preserve"> y estaría excluyendo a algunos seres humanos de su definición. </w:t>
      </w:r>
      <w:r w:rsidR="00D31DE2">
        <w:rPr>
          <w:rFonts w:ascii="Arial Narrow" w:hAnsi="Arial Narrow"/>
        </w:rPr>
        <w:t>Varias discapacidades severas podrían no llegar a satisfacer el umbral de capacidades que Nussbaum reclama.</w:t>
      </w:r>
      <w:r w:rsidR="00D31DE2">
        <w:rPr>
          <w:rStyle w:val="Refdenotaalpie"/>
          <w:rFonts w:ascii="Arial Narrow" w:hAnsi="Arial Narrow"/>
        </w:rPr>
        <w:footnoteReference w:id="27"/>
      </w:r>
      <w:r w:rsidR="00D31DE2">
        <w:rPr>
          <w:rFonts w:ascii="Arial Narrow" w:hAnsi="Arial Narrow"/>
        </w:rPr>
        <w:t xml:space="preserve"> Ante ello, tenemos tres salidas: podemos considerar que quienes no llegan al </w:t>
      </w:r>
      <w:r w:rsidR="00D31DE2" w:rsidRPr="000D3908">
        <w:rPr>
          <w:rFonts w:ascii="Arial Narrow" w:hAnsi="Arial Narrow"/>
        </w:rPr>
        <w:t>nivel mínimo de capacidades no son humanos, que es necesario crear una nueva lista o que la lista tiene un carácter aspiracional que debe ser entendido como algo “a lograr cuando sea razonablemente posible”.</w:t>
      </w:r>
      <w:r w:rsidR="00D31DE2" w:rsidRPr="000D3908">
        <w:rPr>
          <w:rStyle w:val="Refdenotaalpie"/>
          <w:rFonts w:ascii="Arial Narrow" w:hAnsi="Arial Narrow"/>
        </w:rPr>
        <w:footnoteReference w:id="28"/>
      </w:r>
      <w:r w:rsidR="00D420C0" w:rsidRPr="000D3908">
        <w:rPr>
          <w:rFonts w:ascii="Arial Narrow" w:hAnsi="Arial Narrow"/>
        </w:rPr>
        <w:t xml:space="preserve"> Visto así, lo que se deberá lograr es que la persona con discapacidad pueda desplegar el máximo de sus capacidades.</w:t>
      </w:r>
    </w:p>
    <w:p w:rsidR="008E661F" w:rsidRPr="000D3908" w:rsidRDefault="00284E4C" w:rsidP="008E661F">
      <w:pPr>
        <w:spacing w:line="240" w:lineRule="auto"/>
        <w:jc w:val="both"/>
        <w:rPr>
          <w:rFonts w:ascii="Arial Narrow" w:hAnsi="Arial Narrow"/>
        </w:rPr>
      </w:pPr>
      <w:r w:rsidRPr="000D3908">
        <w:rPr>
          <w:rFonts w:ascii="Arial Narrow" w:hAnsi="Arial Narrow"/>
        </w:rPr>
        <w:t xml:space="preserve">No obstante, de </w:t>
      </w:r>
      <w:r w:rsidR="008E661F" w:rsidRPr="000D3908">
        <w:rPr>
          <w:rFonts w:ascii="Arial Narrow" w:hAnsi="Arial Narrow"/>
        </w:rPr>
        <w:t xml:space="preserve">acuerdo a Harnacke, </w:t>
      </w:r>
      <w:r w:rsidRPr="000D3908">
        <w:rPr>
          <w:rFonts w:ascii="Arial Narrow" w:hAnsi="Arial Narrow"/>
        </w:rPr>
        <w:t xml:space="preserve">sí </w:t>
      </w:r>
      <w:r w:rsidR="008E661F" w:rsidRPr="000D3908">
        <w:rPr>
          <w:rFonts w:ascii="Arial Narrow" w:hAnsi="Arial Narrow"/>
        </w:rPr>
        <w:t xml:space="preserve">es posible </w:t>
      </w:r>
      <w:r w:rsidRPr="000D3908">
        <w:rPr>
          <w:rFonts w:ascii="Arial Narrow" w:hAnsi="Arial Narrow"/>
        </w:rPr>
        <w:t xml:space="preserve">un </w:t>
      </w:r>
      <w:r w:rsidR="008E661F" w:rsidRPr="000D3908">
        <w:rPr>
          <w:rFonts w:ascii="Arial Narrow" w:hAnsi="Arial Narrow"/>
        </w:rPr>
        <w:t>entendimiento</w:t>
      </w:r>
      <w:r w:rsidRPr="000D3908">
        <w:rPr>
          <w:rFonts w:ascii="Arial Narrow" w:hAnsi="Arial Narrow"/>
        </w:rPr>
        <w:t xml:space="preserve"> entre el modelo social y el enfoque de capaciadades</w:t>
      </w:r>
      <w:r w:rsidR="008E661F" w:rsidRPr="000D3908">
        <w:rPr>
          <w:rFonts w:ascii="Arial Narrow" w:hAnsi="Arial Narrow"/>
        </w:rPr>
        <w:t>. La autora identifica cuatro elementos que se comparten en ambas visiones: universalidad, capacidades en lugar de funcionamientos, un mínimo estándar de justicia y relación con los derechos humanos.</w:t>
      </w:r>
      <w:r w:rsidR="008E661F" w:rsidRPr="000D3908">
        <w:rPr>
          <w:rStyle w:val="Refdenotaalpie"/>
          <w:rFonts w:ascii="Arial Narrow" w:hAnsi="Arial Narrow"/>
        </w:rPr>
        <w:footnoteReference w:id="29"/>
      </w:r>
      <w:r w:rsidR="008E661F" w:rsidRPr="000D3908">
        <w:rPr>
          <w:rFonts w:ascii="Arial Narrow" w:hAnsi="Arial Narrow"/>
        </w:rPr>
        <w:t xml:space="preserve"> Y es que el enfoque de capacidades no posterga el debate sobre la justicia y la discapacidad (como hacen las teorías contractualistas) sino que reconoce la especial situación de las personas con discapacidad y cómo la diversidad de necesidades por recursos y en las habilidades para convertir esos recursos en funcionamientos.</w:t>
      </w:r>
      <w:r w:rsidR="008E661F" w:rsidRPr="000D3908">
        <w:rPr>
          <w:rStyle w:val="Refdenotaalpie"/>
          <w:rFonts w:ascii="Arial Narrow" w:hAnsi="Arial Narrow"/>
        </w:rPr>
        <w:footnoteReference w:id="30"/>
      </w:r>
      <w:r w:rsidR="008E661F" w:rsidRPr="000D3908">
        <w:rPr>
          <w:rFonts w:ascii="Arial Narrow" w:hAnsi="Arial Narrow"/>
        </w:rPr>
        <w:t xml:space="preserve"> </w:t>
      </w:r>
      <w:r w:rsidRPr="000D3908">
        <w:rPr>
          <w:rFonts w:ascii="Arial Narrow" w:hAnsi="Arial Narrow"/>
        </w:rPr>
        <w:t>A estos elementos podría añadirse un quinto punto de encuentro: la b</w:t>
      </w:r>
      <w:r w:rsidR="009A15B1" w:rsidRPr="000D3908">
        <w:rPr>
          <w:rFonts w:ascii="Arial Narrow" w:hAnsi="Arial Narrow"/>
        </w:rPr>
        <w:t>ú</w:t>
      </w:r>
      <w:r w:rsidRPr="000D3908">
        <w:rPr>
          <w:rFonts w:ascii="Arial Narrow" w:hAnsi="Arial Narrow"/>
        </w:rPr>
        <w:t>squeda del desarrollo autónomo de la persona.</w:t>
      </w:r>
      <w:r w:rsidRPr="000D3908">
        <w:rPr>
          <w:rStyle w:val="Refdenotaalpie"/>
          <w:rFonts w:ascii="Arial Narrow" w:hAnsi="Arial Narrow"/>
        </w:rPr>
        <w:footnoteReference w:id="31"/>
      </w:r>
    </w:p>
    <w:p w:rsidR="008E661F" w:rsidRPr="000D3908" w:rsidRDefault="00284E4C" w:rsidP="00B50935">
      <w:pPr>
        <w:spacing w:line="240" w:lineRule="auto"/>
        <w:jc w:val="both"/>
        <w:rPr>
          <w:rFonts w:ascii="Arial Narrow" w:hAnsi="Arial Narrow"/>
          <w:b/>
        </w:rPr>
      </w:pPr>
      <w:r w:rsidRPr="000D3908">
        <w:rPr>
          <w:rFonts w:ascii="Arial Narrow" w:hAnsi="Arial Narrow"/>
        </w:rPr>
        <w:t xml:space="preserve">En este punto cabría entonces plantear o bien que el enfoque de capacidades excluyó de plano a las personas con discapacidad intelectual, y que la irrupción del modelo social, y su configuración de autonomía reclama la actualización de la teoría de Nussbaum. En este orden de ideas, el </w:t>
      </w:r>
      <w:r w:rsidR="008E661F" w:rsidRPr="000D3908">
        <w:rPr>
          <w:rFonts w:ascii="Arial Narrow" w:hAnsi="Arial Narrow"/>
        </w:rPr>
        <w:t xml:space="preserve">modelo social </w:t>
      </w:r>
      <w:r w:rsidRPr="000D3908">
        <w:rPr>
          <w:rFonts w:ascii="Arial Narrow" w:hAnsi="Arial Narrow"/>
        </w:rPr>
        <w:t xml:space="preserve">se erigiría </w:t>
      </w:r>
      <w:r w:rsidR="008E661F" w:rsidRPr="000D3908">
        <w:rPr>
          <w:rFonts w:ascii="Arial Narrow" w:hAnsi="Arial Narrow"/>
        </w:rPr>
        <w:t>como una actualización del enfoque de capacidades</w:t>
      </w:r>
      <w:r w:rsidRPr="000D3908">
        <w:rPr>
          <w:rFonts w:ascii="Arial Narrow" w:hAnsi="Arial Narrow"/>
        </w:rPr>
        <w:t>. El enfoque de capacidad</w:t>
      </w:r>
      <w:r w:rsidR="009A15B1" w:rsidRPr="000D3908">
        <w:rPr>
          <w:rFonts w:ascii="Arial Narrow" w:hAnsi="Arial Narrow"/>
        </w:rPr>
        <w:t>es</w:t>
      </w:r>
      <w:r w:rsidRPr="000D3908">
        <w:rPr>
          <w:rFonts w:ascii="Arial Narrow" w:hAnsi="Arial Narrow"/>
        </w:rPr>
        <w:t xml:space="preserve"> acierta en defender ciertas capacidades orientadas a garantizar autonomía, pero falla al pretender el logro del mismo grado de autonomía para todos. Es ahí donde el modelo social suaviza la rigidez de Nussbaum: es posible un desarrollo autónomo, dentro de las posibilidades de cada sujeto. La clave será por tanto, para</w:t>
      </w:r>
      <w:r w:rsidR="009A15B1" w:rsidRPr="000D3908">
        <w:rPr>
          <w:rFonts w:ascii="Arial Narrow" w:hAnsi="Arial Narrow"/>
        </w:rPr>
        <w:t xml:space="preserve"> </w:t>
      </w:r>
      <w:r w:rsidRPr="000D3908">
        <w:rPr>
          <w:rFonts w:ascii="Arial Narrow" w:hAnsi="Arial Narrow"/>
        </w:rPr>
        <w:t>la vida digna será el desarrollo de las capacidades de cada sujeto, y la realizaión de actos autónomos segú</w:t>
      </w:r>
      <w:r w:rsidR="000D3908" w:rsidRPr="000D3908">
        <w:rPr>
          <w:rFonts w:ascii="Arial Narrow" w:hAnsi="Arial Narrow"/>
        </w:rPr>
        <w:t>n</w:t>
      </w:r>
      <w:r w:rsidRPr="000D3908">
        <w:rPr>
          <w:rFonts w:ascii="Arial Narrow" w:hAnsi="Arial Narrow"/>
        </w:rPr>
        <w:t xml:space="preserve"> estas capacidad</w:t>
      </w:r>
      <w:r w:rsidR="000D3908" w:rsidRPr="000D3908">
        <w:rPr>
          <w:rFonts w:ascii="Arial Narrow" w:hAnsi="Arial Narrow"/>
        </w:rPr>
        <w:t>es</w:t>
      </w:r>
      <w:r w:rsidRPr="000D3908">
        <w:rPr>
          <w:rFonts w:ascii="Arial Narrow" w:hAnsi="Arial Narrow"/>
        </w:rPr>
        <w:t>. En este nuevo modelo, la prefenrcia de las capacidades frente  a los funcionamientos no pierde vigencia, solo se adapta.</w:t>
      </w:r>
      <w:r w:rsidR="00626924" w:rsidRPr="000D3908">
        <w:rPr>
          <w:rFonts w:ascii="Arial Narrow" w:hAnsi="Arial Narrow"/>
        </w:rPr>
        <w:t xml:space="preserve"> El hablar de capacidades en lugar de funcionamientos pone justamente el én</w:t>
      </w:r>
      <w:r w:rsidR="000D3908" w:rsidRPr="000D3908">
        <w:rPr>
          <w:rFonts w:ascii="Arial Narrow" w:hAnsi="Arial Narrow"/>
        </w:rPr>
        <w:t>f</w:t>
      </w:r>
      <w:r w:rsidR="00626924" w:rsidRPr="000D3908">
        <w:rPr>
          <w:rFonts w:ascii="Arial Narrow" w:hAnsi="Arial Narrow"/>
        </w:rPr>
        <w:t>asis en un ámbito en el cual se permite a la persona con discapacidad decidir sobre cómo ejerce sus libertades.</w:t>
      </w:r>
    </w:p>
    <w:p w:rsidR="0089760A" w:rsidRPr="00B50935" w:rsidRDefault="00132E92" w:rsidP="00B50935">
      <w:pPr>
        <w:spacing w:line="240" w:lineRule="auto"/>
        <w:jc w:val="both"/>
        <w:rPr>
          <w:rFonts w:ascii="Arial Narrow" w:hAnsi="Arial Narrow"/>
          <w:b/>
        </w:rPr>
      </w:pPr>
      <w:r w:rsidRPr="00B50935">
        <w:rPr>
          <w:rFonts w:ascii="Arial Narrow" w:hAnsi="Arial Narrow"/>
          <w:b/>
        </w:rPr>
        <w:t xml:space="preserve">4. </w:t>
      </w:r>
      <w:r w:rsidR="0089760A" w:rsidRPr="00B50935">
        <w:rPr>
          <w:rFonts w:ascii="Arial Narrow" w:hAnsi="Arial Narrow"/>
          <w:b/>
        </w:rPr>
        <w:t>La educación inclusiva como respuesta</w:t>
      </w:r>
    </w:p>
    <w:p w:rsidR="00E53F77" w:rsidRPr="00B50935" w:rsidRDefault="00E53F77" w:rsidP="00B50935">
      <w:pPr>
        <w:spacing w:line="240" w:lineRule="auto"/>
        <w:jc w:val="both"/>
        <w:rPr>
          <w:rFonts w:ascii="Arial Narrow" w:hAnsi="Arial Narrow"/>
        </w:rPr>
      </w:pPr>
      <w:r w:rsidRPr="00B50935">
        <w:rPr>
          <w:rFonts w:ascii="Arial Narrow" w:hAnsi="Arial Narrow"/>
        </w:rPr>
        <w:t>En el ámbito educacional, el modelo social tiene como correlativo el modelo de educación inclusiva.</w:t>
      </w:r>
      <w:r w:rsidR="00816405">
        <w:rPr>
          <w:rStyle w:val="Refdenotaalpie"/>
          <w:rFonts w:ascii="Arial Narrow" w:hAnsi="Arial Narrow"/>
        </w:rPr>
        <w:footnoteReference w:id="32"/>
      </w:r>
      <w:r w:rsidRPr="00B50935">
        <w:rPr>
          <w:rFonts w:ascii="Arial Narrow" w:hAnsi="Arial Narrow"/>
        </w:rPr>
        <w:t xml:space="preserve"> Dicho planteamiento establece que no son las personas con discapacidad las que deben adaptarse al sistema </w:t>
      </w:r>
      <w:r w:rsidRPr="00B50935">
        <w:rPr>
          <w:rFonts w:ascii="Arial Narrow" w:hAnsi="Arial Narrow"/>
        </w:rPr>
        <w:lastRenderedPageBreak/>
        <w:t>educacional sino que es este último el que debe responder, de manera flexible, a las diferencias y necesidades de los niños y niñas para asegurar su permanencia en el sistema educacional</w:t>
      </w:r>
      <w:r w:rsidR="00626924">
        <w:rPr>
          <w:rFonts w:ascii="Arial Narrow" w:hAnsi="Arial Narrow"/>
        </w:rPr>
        <w:t>.</w:t>
      </w:r>
      <w:r w:rsidRPr="00B50935">
        <w:rPr>
          <w:rFonts w:ascii="Arial Narrow" w:hAnsi="Arial Narrow"/>
          <w:vertAlign w:val="superscript"/>
        </w:rPr>
        <w:footnoteReference w:id="33"/>
      </w:r>
      <w:r w:rsidRPr="00B50935">
        <w:rPr>
          <w:rFonts w:ascii="Arial Narrow" w:hAnsi="Arial Narrow"/>
        </w:rPr>
        <w:t xml:space="preserve"> Y es que se ha alcanzado consenso respecto a que “instituciones educativas separadas son inherentemente desiguales”</w:t>
      </w:r>
      <w:r w:rsidRPr="00B50935">
        <w:rPr>
          <w:rFonts w:ascii="Arial Narrow" w:hAnsi="Arial Narrow"/>
          <w:vertAlign w:val="superscript"/>
        </w:rPr>
        <w:footnoteReference w:id="34"/>
      </w:r>
      <w:r w:rsidRPr="00B50935">
        <w:rPr>
          <w:rFonts w:ascii="Arial Narrow" w:hAnsi="Arial Narrow"/>
        </w:rPr>
        <w:t xml:space="preserve"> por lo que su aplicación a cualquier minoría (étnica, lingüística o por razón de discapacidad) es inaceptable e injusta. Es por ello que el sistema educativo deberá elaborar políticas inclusivas y diversos ajustes razonables para que estos niños no sean apartados del ejercicio de su legítimo derecho a la educación.</w:t>
      </w:r>
    </w:p>
    <w:p w:rsidR="00B50935" w:rsidRPr="00B50935" w:rsidRDefault="00626924" w:rsidP="00626924">
      <w:pPr>
        <w:spacing w:line="240" w:lineRule="auto"/>
        <w:jc w:val="both"/>
        <w:rPr>
          <w:rFonts w:ascii="Arial Narrow" w:hAnsi="Arial Narrow"/>
        </w:rPr>
      </w:pPr>
      <w:r>
        <w:rPr>
          <w:rFonts w:ascii="Arial Narrow" w:hAnsi="Arial Narrow"/>
        </w:rPr>
        <w:t xml:space="preserve">Tomando en consideración lo desarrollado en el acápite anterior, y atendiendo a que de acuerdo con el modelo social es posible lograr dosis particulares de autonomía en cada persona (incluso en personas con discapacidad intelectual severa), </w:t>
      </w:r>
      <w:r w:rsidR="00E055FA" w:rsidRPr="00B50935">
        <w:rPr>
          <w:rFonts w:ascii="Arial Narrow" w:hAnsi="Arial Narrow"/>
        </w:rPr>
        <w:t xml:space="preserve"> es posible afirmar que </w:t>
      </w:r>
      <w:r>
        <w:rPr>
          <w:rFonts w:ascii="Arial Narrow" w:hAnsi="Arial Narrow"/>
        </w:rPr>
        <w:t>desde un enfoque de capacidades actu</w:t>
      </w:r>
      <w:r w:rsidR="000D3908">
        <w:rPr>
          <w:rFonts w:ascii="Arial Narrow" w:hAnsi="Arial Narrow"/>
        </w:rPr>
        <w:t>a</w:t>
      </w:r>
      <w:r>
        <w:rPr>
          <w:rFonts w:ascii="Arial Narrow" w:hAnsi="Arial Narrow"/>
        </w:rPr>
        <w:t xml:space="preserve">lizado, </w:t>
      </w:r>
      <w:r w:rsidR="00E055FA" w:rsidRPr="00B50935">
        <w:rPr>
          <w:rFonts w:ascii="Arial Narrow" w:hAnsi="Arial Narrow"/>
        </w:rPr>
        <w:t xml:space="preserve">la educación inclusiva es la mejor opción. Si bien podría decirse que es posible </w:t>
      </w:r>
      <w:r w:rsidR="00B50935" w:rsidRPr="00B50935">
        <w:rPr>
          <w:rFonts w:ascii="Arial Narrow" w:hAnsi="Arial Narrow"/>
        </w:rPr>
        <w:t xml:space="preserve">desarrollar ciertas capacidades a través de la educación segregada, también es cierto que será imposible poder desarrollar cierto grado de filiación con la sociedad y con los otros en un espacio segregado. </w:t>
      </w:r>
      <w:r>
        <w:rPr>
          <w:rFonts w:ascii="Arial Narrow" w:hAnsi="Arial Narrow"/>
        </w:rPr>
        <w:t xml:space="preserve">Es a partir del </w:t>
      </w:r>
      <w:r w:rsidR="00B50935" w:rsidRPr="00B50935">
        <w:rPr>
          <w:rFonts w:ascii="Arial Narrow" w:hAnsi="Arial Narrow"/>
        </w:rPr>
        <w:t xml:space="preserve">enfoque de capacidades </w:t>
      </w:r>
      <w:r>
        <w:rPr>
          <w:rFonts w:ascii="Arial Narrow" w:hAnsi="Arial Narrow"/>
        </w:rPr>
        <w:t xml:space="preserve">que </w:t>
      </w:r>
      <w:r w:rsidR="00B50935" w:rsidRPr="00B50935">
        <w:rPr>
          <w:rFonts w:ascii="Arial Narrow" w:hAnsi="Arial Narrow"/>
        </w:rPr>
        <w:t>puede notar</w:t>
      </w:r>
      <w:r>
        <w:rPr>
          <w:rFonts w:ascii="Arial Narrow" w:hAnsi="Arial Narrow"/>
        </w:rPr>
        <w:t>se</w:t>
      </w:r>
      <w:r w:rsidR="00B50935" w:rsidRPr="00B50935">
        <w:rPr>
          <w:rFonts w:ascii="Arial Narrow" w:hAnsi="Arial Narrow"/>
        </w:rPr>
        <w:t xml:space="preserve"> </w:t>
      </w:r>
      <w:r>
        <w:rPr>
          <w:rFonts w:ascii="Arial Narrow" w:hAnsi="Arial Narrow"/>
        </w:rPr>
        <w:t xml:space="preserve">con mayor claridad el rol de la </w:t>
      </w:r>
      <w:r w:rsidR="00B50935" w:rsidRPr="00B50935">
        <w:rPr>
          <w:rFonts w:ascii="Arial Narrow" w:hAnsi="Arial Narrow"/>
        </w:rPr>
        <w:t>educación</w:t>
      </w:r>
      <w:r>
        <w:rPr>
          <w:rFonts w:ascii="Arial Narrow" w:hAnsi="Arial Narrow"/>
        </w:rPr>
        <w:t>, no como</w:t>
      </w:r>
      <w:r w:rsidR="00B50935" w:rsidRPr="00B50935">
        <w:rPr>
          <w:rFonts w:ascii="Arial Narrow" w:hAnsi="Arial Narrow"/>
        </w:rPr>
        <w:t xml:space="preserve"> un simple entrenamiento</w:t>
      </w:r>
      <w:r>
        <w:rPr>
          <w:rFonts w:ascii="Arial Narrow" w:hAnsi="Arial Narrow"/>
        </w:rPr>
        <w:t xml:space="preserve"> lo que Nussbaum llama equipamientos innatos y capacidades internas,</w:t>
      </w:r>
      <w:r>
        <w:rPr>
          <w:rStyle w:val="Refdenotaalpie"/>
          <w:rFonts w:ascii="Arial Narrow" w:hAnsi="Arial Narrow"/>
        </w:rPr>
        <w:footnoteReference w:id="35"/>
      </w:r>
      <w:r w:rsidR="00B50935" w:rsidRPr="00B50935">
        <w:rPr>
          <w:rFonts w:ascii="Arial Narrow" w:hAnsi="Arial Narrow"/>
        </w:rPr>
        <w:t xml:space="preserve"> sino como una forma de desarrollo humano</w:t>
      </w:r>
      <w:r>
        <w:rPr>
          <w:rFonts w:ascii="Arial Narrow" w:hAnsi="Arial Narrow"/>
        </w:rPr>
        <w:t xml:space="preserve"> (logro de autonomía)</w:t>
      </w:r>
      <w:r w:rsidR="00B50935" w:rsidRPr="00B50935">
        <w:rPr>
          <w:rFonts w:ascii="Arial Narrow" w:hAnsi="Arial Narrow"/>
        </w:rPr>
        <w:t>. Al respecto, vale la pena recordar la etimología de la palabr</w:t>
      </w:r>
      <w:r w:rsidR="000A13F5">
        <w:rPr>
          <w:rFonts w:ascii="Arial Narrow" w:hAnsi="Arial Narrow"/>
        </w:rPr>
        <w:t>a educar. Señala</w:t>
      </w:r>
      <w:r w:rsidR="00B50935" w:rsidRPr="00B50935">
        <w:rPr>
          <w:rFonts w:ascii="Arial Narrow" w:hAnsi="Arial Narrow"/>
        </w:rPr>
        <w:t xml:space="preserve"> Teresa Arrieta que:</w:t>
      </w:r>
    </w:p>
    <w:p w:rsidR="00E53F77" w:rsidRPr="00B50935" w:rsidRDefault="00B50935" w:rsidP="00B50935">
      <w:pPr>
        <w:spacing w:line="240" w:lineRule="auto"/>
        <w:ind w:left="708"/>
        <w:jc w:val="both"/>
        <w:rPr>
          <w:rFonts w:ascii="Arial Narrow" w:hAnsi="Arial Narrow"/>
        </w:rPr>
      </w:pPr>
      <w:r w:rsidRPr="00B50935">
        <w:rPr>
          <w:rFonts w:ascii="Arial Narrow" w:hAnsi="Arial Narrow"/>
        </w:rPr>
        <w:t xml:space="preserve">[…] la palabra educación se deriva de una raíz latina. Pero según sea la raíz que se elija el significado es absolutamente diferente. La palabra </w:t>
      </w:r>
      <w:r w:rsidRPr="00B50935">
        <w:rPr>
          <w:rFonts w:ascii="Arial Narrow" w:hAnsi="Arial Narrow"/>
          <w:i/>
        </w:rPr>
        <w:t>educare</w:t>
      </w:r>
      <w:r w:rsidRPr="00B50935">
        <w:rPr>
          <w:rFonts w:ascii="Arial Narrow" w:hAnsi="Arial Narrow"/>
        </w:rPr>
        <w:t xml:space="preserve"> significa “entrenar”, equipar al estudiante con una habilidad particular, mientras que la palabra </w:t>
      </w:r>
      <w:r w:rsidRPr="00B50935">
        <w:rPr>
          <w:rFonts w:ascii="Arial Narrow" w:hAnsi="Arial Narrow"/>
          <w:i/>
        </w:rPr>
        <w:t>educere</w:t>
      </w:r>
      <w:r w:rsidRPr="00B50935">
        <w:rPr>
          <w:rFonts w:ascii="Arial Narrow" w:hAnsi="Arial Narrow"/>
        </w:rPr>
        <w:t xml:space="preserve"> tiene un significado diferente: “conducir hacia delante”, “guiar hacia fuera”</w:t>
      </w:r>
      <w:r w:rsidRPr="00B50935">
        <w:rPr>
          <w:rStyle w:val="Refdenotaalpie"/>
          <w:rFonts w:ascii="Arial Narrow" w:hAnsi="Arial Narrow"/>
        </w:rPr>
        <w:footnoteReference w:id="36"/>
      </w:r>
    </w:p>
    <w:p w:rsidR="003B6345" w:rsidRPr="00B50935" w:rsidRDefault="00B50935" w:rsidP="00626924">
      <w:pPr>
        <w:spacing w:line="240" w:lineRule="auto"/>
        <w:jc w:val="both"/>
        <w:rPr>
          <w:rFonts w:ascii="Arial Narrow" w:hAnsi="Arial Narrow"/>
        </w:rPr>
      </w:pPr>
      <w:r w:rsidRPr="00B50935">
        <w:rPr>
          <w:rFonts w:ascii="Arial Narrow" w:hAnsi="Arial Narrow"/>
        </w:rPr>
        <w:lastRenderedPageBreak/>
        <w:t xml:space="preserve">Es la última acepción la que se pone en práctica de acuerdo al enfoque de capacidades. </w:t>
      </w:r>
      <w:r w:rsidR="00626924" w:rsidRPr="000D3908">
        <w:rPr>
          <w:rFonts w:ascii="Arial Narrow" w:hAnsi="Arial Narrow"/>
          <w:b/>
        </w:rPr>
        <w:t xml:space="preserve">La </w:t>
      </w:r>
      <w:r w:rsidR="003B6345" w:rsidRPr="000D3908">
        <w:rPr>
          <w:rFonts w:ascii="Arial Narrow" w:hAnsi="Arial Narrow"/>
        </w:rPr>
        <w:t>educa</w:t>
      </w:r>
      <w:r w:rsidR="003B6345">
        <w:rPr>
          <w:rFonts w:ascii="Arial Narrow" w:hAnsi="Arial Narrow"/>
        </w:rPr>
        <w:t>ción</w:t>
      </w:r>
      <w:r w:rsidR="00626924">
        <w:rPr>
          <w:rFonts w:ascii="Arial Narrow" w:hAnsi="Arial Narrow"/>
        </w:rPr>
        <w:t>, por tanto,</w:t>
      </w:r>
      <w:r w:rsidR="003B6345">
        <w:rPr>
          <w:rFonts w:ascii="Arial Narrow" w:hAnsi="Arial Narrow"/>
        </w:rPr>
        <w:t xml:space="preserve"> deberá tener por objetivo lograr que la persona con discapacidad pueda ejercer de manera real sus derechos. Siguiendo a Paulo Freire, se debe buscar “una educación la decisión, para la responsabilidad social y política”.</w:t>
      </w:r>
      <w:r w:rsidR="003B6345">
        <w:rPr>
          <w:rStyle w:val="Refdenotaalpie"/>
          <w:rFonts w:ascii="Arial Narrow" w:hAnsi="Arial Narrow"/>
        </w:rPr>
        <w:footnoteReference w:id="37"/>
      </w:r>
      <w:r w:rsidR="003B6345">
        <w:rPr>
          <w:rFonts w:ascii="Arial Narrow" w:hAnsi="Arial Narrow"/>
        </w:rPr>
        <w:t xml:space="preserve"> </w:t>
      </w:r>
    </w:p>
    <w:p w:rsidR="00B50935" w:rsidRDefault="00B50935" w:rsidP="00CE1FCF">
      <w:pPr>
        <w:spacing w:line="240" w:lineRule="auto"/>
        <w:jc w:val="both"/>
        <w:rPr>
          <w:rFonts w:ascii="Arial Narrow" w:hAnsi="Arial Narrow"/>
        </w:rPr>
      </w:pPr>
      <w:r w:rsidRPr="00B50935">
        <w:rPr>
          <w:rFonts w:ascii="Arial Narrow" w:hAnsi="Arial Narrow"/>
        </w:rPr>
        <w:t>La apuesta por la educación inclusiva no solamente permite el desarrollo</w:t>
      </w:r>
      <w:r w:rsidR="00CE1FCF">
        <w:rPr>
          <w:rFonts w:ascii="Arial Narrow" w:hAnsi="Arial Narrow"/>
        </w:rPr>
        <w:t xml:space="preserve"> de las capacidades de las personas con discapacidad. Funciona como una posibilidad de crear un espacio de diversidad. La educación también aspira a “un nexo</w:t>
      </w:r>
      <w:r w:rsidR="00CE1FCF">
        <w:rPr>
          <w:rFonts w:ascii="Arial Narrow" w:hAnsi="Arial Narrow"/>
        </w:rPr>
        <w:tab/>
        <w:t xml:space="preserve">ético y común </w:t>
      </w:r>
      <w:r w:rsidR="00CE1FCF" w:rsidRPr="00CE1FCF">
        <w:rPr>
          <w:rFonts w:ascii="Arial Narrow" w:hAnsi="Arial Narrow"/>
        </w:rPr>
        <w:t>para</w:t>
      </w:r>
      <w:r w:rsidR="00CE1FCF">
        <w:rPr>
          <w:rFonts w:ascii="Arial Narrow" w:hAnsi="Arial Narrow"/>
        </w:rPr>
        <w:t xml:space="preserve"> </w:t>
      </w:r>
      <w:r w:rsidR="00CE1FCF" w:rsidRPr="00CE1FCF">
        <w:rPr>
          <w:rFonts w:ascii="Arial Narrow" w:hAnsi="Arial Narrow"/>
        </w:rPr>
        <w:t>las</w:t>
      </w:r>
      <w:r w:rsidR="00CE1FCF">
        <w:rPr>
          <w:rFonts w:ascii="Arial Narrow" w:hAnsi="Arial Narrow"/>
        </w:rPr>
        <w:t xml:space="preserve"> </w:t>
      </w:r>
      <w:r w:rsidR="00CE1FCF" w:rsidRPr="00CE1FCF">
        <w:rPr>
          <w:rFonts w:ascii="Arial Narrow" w:hAnsi="Arial Narrow"/>
        </w:rPr>
        <w:t>personas</w:t>
      </w:r>
      <w:r w:rsidR="00CE1FCF">
        <w:rPr>
          <w:rFonts w:ascii="Arial Narrow" w:hAnsi="Arial Narrow"/>
        </w:rPr>
        <w:t xml:space="preserve"> </w:t>
      </w:r>
      <w:r w:rsidR="00CE1FCF" w:rsidRPr="00CE1FCF">
        <w:rPr>
          <w:rFonts w:ascii="Arial Narrow" w:hAnsi="Arial Narrow"/>
        </w:rPr>
        <w:t>adscritas</w:t>
      </w:r>
      <w:r w:rsidR="00CE1FCF">
        <w:rPr>
          <w:rFonts w:ascii="Arial Narrow" w:hAnsi="Arial Narrow"/>
        </w:rPr>
        <w:t xml:space="preserve"> </w:t>
      </w:r>
      <w:r w:rsidR="00CE1FCF" w:rsidRPr="00CE1FCF">
        <w:rPr>
          <w:rFonts w:ascii="Arial Narrow" w:hAnsi="Arial Narrow"/>
        </w:rPr>
        <w:t>a</w:t>
      </w:r>
      <w:r w:rsidR="00CE1FCF" w:rsidRPr="00CE1FCF">
        <w:rPr>
          <w:rFonts w:ascii="Arial Narrow" w:hAnsi="Arial Narrow"/>
        </w:rPr>
        <w:tab/>
        <w:t>un</w:t>
      </w:r>
      <w:r w:rsidR="00C425BD">
        <w:rPr>
          <w:rFonts w:ascii="Arial Narrow" w:hAnsi="Arial Narrow"/>
        </w:rPr>
        <w:t xml:space="preserve"> </w:t>
      </w:r>
      <w:r w:rsidR="00CE1FCF" w:rsidRPr="00CE1FCF">
        <w:rPr>
          <w:rFonts w:ascii="Arial Narrow" w:hAnsi="Arial Narrow"/>
        </w:rPr>
        <w:t>entorno</w:t>
      </w:r>
      <w:r w:rsidR="00C425BD">
        <w:rPr>
          <w:rFonts w:ascii="Arial Narrow" w:hAnsi="Arial Narrow"/>
        </w:rPr>
        <w:t xml:space="preserve"> </w:t>
      </w:r>
      <w:r w:rsidR="00CE1FCF" w:rsidRPr="00CE1FCF">
        <w:rPr>
          <w:rFonts w:ascii="Arial Narrow" w:hAnsi="Arial Narrow"/>
        </w:rPr>
        <w:t>socia</w:t>
      </w:r>
      <w:r w:rsidR="00CE1FCF">
        <w:rPr>
          <w:rFonts w:ascii="Arial Narrow" w:hAnsi="Arial Narrow"/>
        </w:rPr>
        <w:t>l”.</w:t>
      </w:r>
      <w:r w:rsidR="00CE1FCF">
        <w:rPr>
          <w:rStyle w:val="Refdenotaalpie"/>
          <w:rFonts w:ascii="Arial Narrow" w:hAnsi="Arial Narrow"/>
        </w:rPr>
        <w:footnoteReference w:id="38"/>
      </w:r>
      <w:r w:rsidR="00CE1FCF">
        <w:rPr>
          <w:rFonts w:ascii="Arial Narrow" w:hAnsi="Arial Narrow"/>
        </w:rPr>
        <w:t xml:space="preserve"> En tal sentido, la convivencia con personas con discapacidad permite abrazar a la discapacidad como un</w:t>
      </w:r>
      <w:r w:rsidR="00C425BD">
        <w:rPr>
          <w:rFonts w:ascii="Arial Narrow" w:hAnsi="Arial Narrow"/>
        </w:rPr>
        <w:t xml:space="preserve"> aspecto más de la experiencia humana que debe ser entendido y valorado y no estigmatizado. Esto no puede ser enseñado de manera teórica sino que requiere vivencias expresas.</w:t>
      </w:r>
    </w:p>
    <w:p w:rsidR="00C425BD" w:rsidRPr="00B50935" w:rsidRDefault="00C425BD" w:rsidP="00C35276">
      <w:pPr>
        <w:spacing w:line="240" w:lineRule="auto"/>
        <w:jc w:val="both"/>
        <w:rPr>
          <w:rFonts w:ascii="Arial Narrow" w:hAnsi="Arial Narrow"/>
        </w:rPr>
      </w:pPr>
      <w:r>
        <w:rPr>
          <w:rFonts w:ascii="Arial Narrow" w:hAnsi="Arial Narrow"/>
        </w:rPr>
        <w:t>Finalmente, la inclusión de personas con discapacidad obliga a variar los paradigmas actuales de la educación como un espacio de competencia feroz e inacabable por el éxito sino que se deberá apostar por una educación que promueva la colaboración y el apoyo.</w:t>
      </w:r>
      <w:r>
        <w:rPr>
          <w:rStyle w:val="Refdenotaalpie"/>
          <w:rFonts w:ascii="Arial Narrow" w:hAnsi="Arial Narrow"/>
        </w:rPr>
        <w:footnoteReference w:id="39"/>
      </w:r>
      <w:r>
        <w:rPr>
          <w:rFonts w:ascii="Arial Narrow" w:hAnsi="Arial Narrow"/>
        </w:rPr>
        <w:t xml:space="preserve">A través de las necesidades educativas especiales de la persona con discapacidad es posible que los estudiantes entiendan la importancia de la colaboración y el apoyo. Solo de esta manera es posible configurar la sociedad que Nussbaum prefigura para el desarrollo de capacidades. Y es que vale la pena recordad que una de las críticas de Nussbaum es que una de las razones de la exclusión de las personas con discapacidad del contrato social era porque no había ningún incentivo real para que las personas sin discapacidad los incluyesen en tanto no era probable obtener beneficio </w:t>
      </w:r>
      <w:r w:rsidR="00D95D7E">
        <w:rPr>
          <w:rFonts w:ascii="Arial Narrow" w:hAnsi="Arial Narrow"/>
        </w:rPr>
        <w:t>alguno de su participación en la sociedad.</w:t>
      </w:r>
      <w:r w:rsidR="00D95D7E">
        <w:rPr>
          <w:rStyle w:val="Refdenotaalpie"/>
          <w:rFonts w:ascii="Arial Narrow" w:hAnsi="Arial Narrow"/>
        </w:rPr>
        <w:footnoteReference w:id="40"/>
      </w:r>
      <w:r w:rsidR="00D95D7E">
        <w:rPr>
          <w:rFonts w:ascii="Arial Narrow" w:hAnsi="Arial Narrow"/>
        </w:rPr>
        <w:t xml:space="preserve"> A través de la educación inclusiva es posible generar un ciudadano que no sienta que la inclusión de las personas con discapacidad es un gasto inútil sino que es una cuestión de justicia de la que no se debe privar a nadie.</w:t>
      </w:r>
    </w:p>
    <w:p w:rsidR="007B04A6" w:rsidRPr="00B50935" w:rsidRDefault="007B04A6" w:rsidP="00C35276">
      <w:pPr>
        <w:spacing w:line="240" w:lineRule="auto"/>
        <w:jc w:val="both"/>
        <w:rPr>
          <w:rFonts w:ascii="Arial Narrow" w:hAnsi="Arial Narrow"/>
        </w:rPr>
      </w:pPr>
    </w:p>
    <w:p w:rsidR="005533FC" w:rsidRDefault="005533FC">
      <w:pPr>
        <w:rPr>
          <w:rFonts w:ascii="Arial Narrow" w:hAnsi="Arial Narrow"/>
          <w:b/>
        </w:rPr>
      </w:pPr>
      <w:r>
        <w:rPr>
          <w:rFonts w:ascii="Arial Narrow" w:hAnsi="Arial Narrow"/>
          <w:b/>
        </w:rPr>
        <w:br w:type="page"/>
      </w:r>
    </w:p>
    <w:p w:rsidR="0089760A" w:rsidRDefault="00C35276" w:rsidP="00C35276">
      <w:pPr>
        <w:spacing w:line="240" w:lineRule="auto"/>
        <w:jc w:val="both"/>
        <w:rPr>
          <w:rFonts w:ascii="Arial Narrow" w:hAnsi="Arial Narrow"/>
          <w:b/>
        </w:rPr>
      </w:pPr>
      <w:r>
        <w:rPr>
          <w:rFonts w:ascii="Arial Narrow" w:hAnsi="Arial Narrow"/>
          <w:b/>
        </w:rPr>
        <w:lastRenderedPageBreak/>
        <w:t>Bibliografía</w:t>
      </w:r>
    </w:p>
    <w:p w:rsidR="00C35276" w:rsidRDefault="00C35276" w:rsidP="00C35276">
      <w:pPr>
        <w:spacing w:after="0" w:line="240" w:lineRule="auto"/>
        <w:jc w:val="both"/>
        <w:rPr>
          <w:rFonts w:ascii="Arial Narrow" w:hAnsi="Arial Narrow"/>
        </w:rPr>
      </w:pPr>
      <w:r w:rsidRPr="00C35276">
        <w:rPr>
          <w:rFonts w:ascii="Arial Narrow" w:hAnsi="Arial Narrow"/>
        </w:rPr>
        <w:t xml:space="preserve">ALONSO PARREÑO, María José e Inés DE ARÁOZ SÁNCHEZ-DOPICO. </w:t>
      </w:r>
    </w:p>
    <w:p w:rsidR="00C35276" w:rsidRPr="00C35276" w:rsidRDefault="00C35276" w:rsidP="00C35276">
      <w:pPr>
        <w:spacing w:after="0" w:line="240" w:lineRule="auto"/>
        <w:ind w:left="705" w:hanging="705"/>
        <w:jc w:val="both"/>
        <w:rPr>
          <w:rFonts w:ascii="Arial Narrow" w:hAnsi="Arial Narrow"/>
        </w:rPr>
      </w:pPr>
      <w:r>
        <w:rPr>
          <w:rFonts w:ascii="Arial Narrow" w:hAnsi="Arial Narrow"/>
        </w:rPr>
        <w:t>2011</w:t>
      </w:r>
      <w:r>
        <w:rPr>
          <w:rFonts w:ascii="Arial Narrow" w:hAnsi="Arial Narrow"/>
        </w:rPr>
        <w:tab/>
      </w:r>
      <w:r w:rsidRPr="00C35276">
        <w:rPr>
          <w:rFonts w:ascii="Arial Narrow" w:hAnsi="Arial Narrow"/>
          <w:i/>
        </w:rPr>
        <w:t>El impacto de la Convención internacional sobre los derechos de las personas con discapacidad en la legislación educativa española</w:t>
      </w:r>
      <w:r w:rsidRPr="00C35276">
        <w:rPr>
          <w:rFonts w:ascii="Arial Narrow" w:hAnsi="Arial Narrow"/>
        </w:rPr>
        <w:t>. Ediciones Cinca: Madrid.</w:t>
      </w:r>
    </w:p>
    <w:p w:rsidR="00C35276" w:rsidRDefault="00C35276" w:rsidP="00C35276">
      <w:pPr>
        <w:spacing w:after="0" w:line="240" w:lineRule="auto"/>
        <w:jc w:val="both"/>
        <w:rPr>
          <w:rFonts w:ascii="Arial Narrow" w:hAnsi="Arial Narrow"/>
        </w:rPr>
      </w:pPr>
    </w:p>
    <w:p w:rsidR="00C35276" w:rsidRDefault="00C35276" w:rsidP="00C35276">
      <w:pPr>
        <w:spacing w:after="0" w:line="240" w:lineRule="auto"/>
        <w:jc w:val="both"/>
        <w:rPr>
          <w:rFonts w:ascii="Arial Narrow" w:hAnsi="Arial Narrow"/>
        </w:rPr>
      </w:pPr>
      <w:r w:rsidRPr="00C35276">
        <w:rPr>
          <w:rFonts w:ascii="Arial Narrow" w:hAnsi="Arial Narrow"/>
        </w:rPr>
        <w:t xml:space="preserve">ARRIETA, Teresa. </w:t>
      </w:r>
    </w:p>
    <w:p w:rsidR="00C35276" w:rsidRPr="00C35276" w:rsidRDefault="00C35276" w:rsidP="00C35276">
      <w:pPr>
        <w:spacing w:after="0" w:line="240" w:lineRule="auto"/>
        <w:ind w:left="705" w:hanging="705"/>
        <w:jc w:val="both"/>
        <w:rPr>
          <w:rFonts w:ascii="Arial Narrow" w:hAnsi="Arial Narrow"/>
        </w:rPr>
      </w:pPr>
      <w:r>
        <w:rPr>
          <w:rFonts w:ascii="Arial Narrow" w:hAnsi="Arial Narrow"/>
        </w:rPr>
        <w:t>2011</w:t>
      </w:r>
      <w:r>
        <w:rPr>
          <w:rFonts w:ascii="Arial Narrow" w:hAnsi="Arial Narrow"/>
        </w:rPr>
        <w:tab/>
      </w:r>
      <w:r w:rsidRPr="00C35276">
        <w:rPr>
          <w:rFonts w:ascii="Arial Narrow" w:hAnsi="Arial Narrow"/>
        </w:rPr>
        <w:t>“Educación, tolerancia e identidad”. En ALEGRÍA, Ciro &amp; otros (eds.).</w:t>
      </w:r>
      <w:r w:rsidRPr="00C35276">
        <w:rPr>
          <w:rFonts w:ascii="Arial Narrow" w:hAnsi="Arial Narrow"/>
          <w:i/>
        </w:rPr>
        <w:t>Tolerancia:</w:t>
      </w:r>
      <w:r>
        <w:rPr>
          <w:rFonts w:ascii="Arial Narrow" w:hAnsi="Arial Narrow"/>
          <w:i/>
        </w:rPr>
        <w:t xml:space="preserve"> </w:t>
      </w:r>
      <w:r w:rsidRPr="00C35276">
        <w:rPr>
          <w:rFonts w:ascii="Arial Narrow" w:hAnsi="Arial Narrow"/>
          <w:i/>
        </w:rPr>
        <w:t>ética y política</w:t>
      </w:r>
      <w:r w:rsidRPr="00C35276">
        <w:rPr>
          <w:rFonts w:ascii="Arial Narrow" w:hAnsi="Arial Narrow"/>
        </w:rPr>
        <w:t>. Lima: Fondo Editorial de la Pontificia Universidad Católica del Perú</w:t>
      </w:r>
      <w:r>
        <w:rPr>
          <w:rFonts w:ascii="Arial Narrow" w:hAnsi="Arial Narrow"/>
        </w:rPr>
        <w:t>.</w:t>
      </w:r>
    </w:p>
    <w:p w:rsidR="00C35276" w:rsidRDefault="00C35276" w:rsidP="00C35276">
      <w:pPr>
        <w:spacing w:after="0" w:line="240" w:lineRule="auto"/>
        <w:jc w:val="both"/>
        <w:rPr>
          <w:rFonts w:ascii="Arial Narrow" w:hAnsi="Arial Narrow"/>
        </w:rPr>
      </w:pPr>
    </w:p>
    <w:p w:rsidR="00C35276" w:rsidRDefault="00C35276" w:rsidP="00C35276">
      <w:pPr>
        <w:spacing w:after="0" w:line="240" w:lineRule="auto"/>
        <w:jc w:val="both"/>
        <w:rPr>
          <w:rFonts w:ascii="Arial Narrow" w:hAnsi="Arial Narrow"/>
        </w:rPr>
      </w:pPr>
      <w:r w:rsidRPr="00C35276">
        <w:rPr>
          <w:rFonts w:ascii="Arial Narrow" w:hAnsi="Arial Narrow"/>
        </w:rPr>
        <w:t xml:space="preserve">COMITÉ DE DERECHOS ECONÓMICOS, SOCIALES Y CULTURALES. </w:t>
      </w:r>
    </w:p>
    <w:p w:rsidR="00C35276" w:rsidRPr="00721173" w:rsidRDefault="00C35276" w:rsidP="00C35276">
      <w:pPr>
        <w:spacing w:after="0" w:line="240" w:lineRule="auto"/>
        <w:jc w:val="both"/>
        <w:rPr>
          <w:rFonts w:ascii="Arial Narrow" w:hAnsi="Arial Narrow"/>
          <w:lang w:val="en-US"/>
        </w:rPr>
      </w:pPr>
      <w:r>
        <w:rPr>
          <w:rFonts w:ascii="Arial Narrow" w:hAnsi="Arial Narrow"/>
        </w:rPr>
        <w:t>1999</w:t>
      </w:r>
      <w:r>
        <w:rPr>
          <w:rFonts w:ascii="Arial Narrow" w:hAnsi="Arial Narrow"/>
        </w:rPr>
        <w:tab/>
      </w:r>
      <w:r w:rsidRPr="00C35276">
        <w:rPr>
          <w:rFonts w:ascii="Arial Narrow" w:hAnsi="Arial Narrow"/>
          <w:i/>
        </w:rPr>
        <w:t>Observación General 13. El derecho a la educación (artículo 13 del Pacto)</w:t>
      </w:r>
      <w:r>
        <w:rPr>
          <w:rFonts w:ascii="Arial Narrow" w:hAnsi="Arial Narrow"/>
        </w:rPr>
        <w:t>.</w:t>
      </w:r>
      <w:r w:rsidRPr="00C35276">
        <w:rPr>
          <w:rFonts w:ascii="Arial Narrow" w:hAnsi="Arial Narrow"/>
        </w:rPr>
        <w:t xml:space="preserve"> </w:t>
      </w:r>
      <w:r w:rsidRPr="00721173">
        <w:rPr>
          <w:rFonts w:ascii="Arial Narrow" w:hAnsi="Arial Narrow"/>
          <w:lang w:val="en-US"/>
        </w:rPr>
        <w:t xml:space="preserve">E/C.12/1999/10. </w:t>
      </w:r>
    </w:p>
    <w:p w:rsidR="00C35276" w:rsidRPr="00721173" w:rsidRDefault="00C35276" w:rsidP="00C35276">
      <w:pPr>
        <w:spacing w:after="0" w:line="240" w:lineRule="auto"/>
        <w:jc w:val="both"/>
        <w:rPr>
          <w:rFonts w:ascii="Arial Narrow" w:hAnsi="Arial Narrow"/>
          <w:lang w:val="en-US"/>
        </w:rPr>
      </w:pPr>
    </w:p>
    <w:p w:rsidR="00D420C0" w:rsidRDefault="00D420C0" w:rsidP="00C35276">
      <w:pPr>
        <w:spacing w:after="0" w:line="240" w:lineRule="auto"/>
        <w:jc w:val="both"/>
        <w:rPr>
          <w:rFonts w:ascii="Arial Narrow" w:hAnsi="Arial Narrow"/>
          <w:lang w:val="en-US"/>
        </w:rPr>
      </w:pPr>
      <w:r w:rsidRPr="00D420C0">
        <w:rPr>
          <w:rFonts w:ascii="Arial Narrow" w:hAnsi="Arial Narrow"/>
          <w:lang w:val="en-US"/>
        </w:rPr>
        <w:t>CORRADO</w:t>
      </w:r>
      <w:r>
        <w:rPr>
          <w:rFonts w:ascii="Arial Narrow" w:hAnsi="Arial Narrow"/>
          <w:lang w:val="en-US"/>
        </w:rPr>
        <w:t>, Michael Louis</w:t>
      </w:r>
    </w:p>
    <w:p w:rsidR="00584C0D" w:rsidRPr="009A15B1" w:rsidRDefault="00D420C0" w:rsidP="00ED04AA">
      <w:pPr>
        <w:spacing w:after="0" w:line="240" w:lineRule="auto"/>
        <w:ind w:left="708" w:hanging="708"/>
        <w:jc w:val="both"/>
        <w:rPr>
          <w:rFonts w:ascii="Arial Narrow" w:hAnsi="Arial Narrow"/>
        </w:rPr>
      </w:pPr>
      <w:r>
        <w:rPr>
          <w:rFonts w:ascii="Arial Narrow" w:hAnsi="Arial Narrow"/>
          <w:lang w:val="en-US"/>
        </w:rPr>
        <w:t>2008</w:t>
      </w:r>
      <w:r>
        <w:rPr>
          <w:rFonts w:ascii="Arial Narrow" w:hAnsi="Arial Narrow"/>
          <w:lang w:val="en-US"/>
        </w:rPr>
        <w:tab/>
      </w:r>
      <w:r w:rsidRPr="00D420C0">
        <w:rPr>
          <w:rFonts w:ascii="Arial Narrow" w:hAnsi="Arial Narrow"/>
          <w:lang w:val="en-US"/>
        </w:rPr>
        <w:t xml:space="preserve"> “Disability and Nationality: Martha Nussbaum on Justice.” </w:t>
      </w:r>
      <w:r>
        <w:rPr>
          <w:rFonts w:ascii="Arial Narrow" w:hAnsi="Arial Narrow"/>
          <w:lang w:val="en-US"/>
        </w:rPr>
        <w:t xml:space="preserve">En </w:t>
      </w:r>
      <w:r w:rsidRPr="00D420C0">
        <w:rPr>
          <w:rFonts w:ascii="Arial Narrow" w:hAnsi="Arial Narrow"/>
          <w:i/>
          <w:lang w:val="en-US"/>
        </w:rPr>
        <w:t>Essays in Philosophy</w:t>
      </w:r>
      <w:r>
        <w:rPr>
          <w:rFonts w:ascii="Arial Narrow" w:hAnsi="Arial Narrow"/>
          <w:lang w:val="en-US"/>
        </w:rPr>
        <w:t>, Vol. 9, No. 1.</w:t>
      </w:r>
      <w:r w:rsidRPr="00D420C0">
        <w:rPr>
          <w:rFonts w:ascii="Arial Narrow" w:hAnsi="Arial Narrow"/>
          <w:lang w:val="en-US"/>
        </w:rPr>
        <w:t xml:space="preserve"> </w:t>
      </w:r>
      <w:r w:rsidRPr="009A15B1">
        <w:rPr>
          <w:rFonts w:ascii="Arial Narrow" w:hAnsi="Arial Narrow"/>
        </w:rPr>
        <w:t>UNC Legal Studies Research Paper No. 1117633,</w:t>
      </w:r>
    </w:p>
    <w:p w:rsidR="00584C0D" w:rsidRPr="009A15B1" w:rsidRDefault="00584C0D" w:rsidP="00ED04AA">
      <w:pPr>
        <w:spacing w:after="0" w:line="240" w:lineRule="auto"/>
        <w:ind w:left="708" w:hanging="708"/>
        <w:jc w:val="both"/>
        <w:rPr>
          <w:rFonts w:ascii="Arial Narrow" w:hAnsi="Arial Narrow"/>
        </w:rPr>
      </w:pPr>
    </w:p>
    <w:p w:rsidR="00C35276" w:rsidRDefault="00C35276" w:rsidP="00C35276">
      <w:pPr>
        <w:spacing w:after="0" w:line="240" w:lineRule="auto"/>
        <w:jc w:val="both"/>
        <w:rPr>
          <w:rFonts w:ascii="Arial Narrow" w:hAnsi="Arial Narrow"/>
        </w:rPr>
      </w:pPr>
      <w:r w:rsidRPr="00C35276">
        <w:rPr>
          <w:rFonts w:ascii="Arial Narrow" w:hAnsi="Arial Narrow"/>
        </w:rPr>
        <w:t xml:space="preserve">CORTE SUPREMA DE LOS ESTADOS UNIDOS DE AMÉRICA. </w:t>
      </w:r>
    </w:p>
    <w:p w:rsidR="00C35276" w:rsidRPr="00C35276" w:rsidRDefault="00C35276" w:rsidP="00C35276">
      <w:pPr>
        <w:spacing w:after="0" w:line="240" w:lineRule="auto"/>
        <w:jc w:val="both"/>
        <w:rPr>
          <w:rFonts w:ascii="Arial Narrow" w:hAnsi="Arial Narrow"/>
          <w:lang w:val="en-US"/>
        </w:rPr>
      </w:pPr>
      <w:r w:rsidRPr="00C35276">
        <w:rPr>
          <w:rFonts w:ascii="Arial Narrow" w:hAnsi="Arial Narrow"/>
          <w:lang w:val="en-US"/>
        </w:rPr>
        <w:t>1972</w:t>
      </w:r>
      <w:r w:rsidRPr="00C35276">
        <w:rPr>
          <w:rFonts w:ascii="Arial Narrow" w:hAnsi="Arial Narrow"/>
          <w:lang w:val="en-US"/>
        </w:rPr>
        <w:tab/>
      </w:r>
      <w:r w:rsidRPr="00C35276">
        <w:rPr>
          <w:rFonts w:ascii="Arial Narrow" w:hAnsi="Arial Narrow"/>
          <w:i/>
          <w:lang w:val="en-US"/>
        </w:rPr>
        <w:t>Wisconsin v</w:t>
      </w:r>
      <w:r>
        <w:rPr>
          <w:rFonts w:ascii="Arial Narrow" w:hAnsi="Arial Narrow"/>
          <w:i/>
          <w:lang w:val="en-US"/>
        </w:rPr>
        <w:t>.</w:t>
      </w:r>
      <w:r w:rsidRPr="00C35276">
        <w:rPr>
          <w:rFonts w:ascii="Arial Narrow" w:hAnsi="Arial Narrow"/>
          <w:i/>
          <w:lang w:val="en-US"/>
        </w:rPr>
        <w:t xml:space="preserve"> Yoder</w:t>
      </w:r>
      <w:r w:rsidRPr="00C35276">
        <w:rPr>
          <w:rFonts w:ascii="Arial Narrow" w:hAnsi="Arial Narrow"/>
          <w:lang w:val="en-US"/>
        </w:rPr>
        <w:t>, 406 US 205, 221</w:t>
      </w:r>
      <w:r>
        <w:rPr>
          <w:rFonts w:ascii="Arial Narrow" w:hAnsi="Arial Narrow"/>
          <w:lang w:val="en-US"/>
        </w:rPr>
        <w:t>.</w:t>
      </w:r>
    </w:p>
    <w:p w:rsidR="00C35276" w:rsidRPr="00C35276" w:rsidRDefault="00C35276" w:rsidP="00C35276">
      <w:pPr>
        <w:spacing w:after="0" w:line="240" w:lineRule="auto"/>
        <w:jc w:val="both"/>
        <w:rPr>
          <w:rFonts w:ascii="Arial Narrow" w:hAnsi="Arial Narrow"/>
          <w:lang w:val="en-US"/>
        </w:rPr>
      </w:pPr>
      <w:r w:rsidRPr="00C35276">
        <w:rPr>
          <w:rFonts w:ascii="Arial Narrow" w:hAnsi="Arial Narrow"/>
          <w:lang w:val="en-US"/>
        </w:rPr>
        <w:t>1954</w:t>
      </w:r>
      <w:r w:rsidRPr="00C35276">
        <w:rPr>
          <w:rFonts w:ascii="Arial Narrow" w:hAnsi="Arial Narrow"/>
          <w:lang w:val="en-US"/>
        </w:rPr>
        <w:tab/>
      </w:r>
      <w:r w:rsidRPr="00C35276">
        <w:rPr>
          <w:rFonts w:ascii="Arial Narrow" w:hAnsi="Arial Narrow"/>
          <w:i/>
          <w:lang w:val="en-US"/>
        </w:rPr>
        <w:t>Brown v. Board of Education of Topeka</w:t>
      </w:r>
      <w:r w:rsidRPr="00C35276">
        <w:rPr>
          <w:rFonts w:ascii="Arial Narrow" w:hAnsi="Arial Narrow"/>
          <w:lang w:val="en-US"/>
        </w:rPr>
        <w:t>, 347 U.S. 483.</w:t>
      </w:r>
    </w:p>
    <w:p w:rsidR="00C35276" w:rsidRDefault="00C35276" w:rsidP="00C35276">
      <w:pPr>
        <w:spacing w:after="0" w:line="240" w:lineRule="auto"/>
        <w:jc w:val="both"/>
        <w:rPr>
          <w:rFonts w:ascii="Arial Narrow" w:hAnsi="Arial Narrow"/>
          <w:lang w:val="en-US"/>
        </w:rPr>
      </w:pPr>
    </w:p>
    <w:p w:rsidR="005533FC" w:rsidRDefault="005533FC" w:rsidP="005533FC">
      <w:pPr>
        <w:spacing w:after="0" w:line="240" w:lineRule="auto"/>
        <w:jc w:val="both"/>
        <w:rPr>
          <w:rFonts w:ascii="Arial Narrow" w:hAnsi="Arial Narrow"/>
        </w:rPr>
      </w:pPr>
      <w:r w:rsidRPr="005533FC">
        <w:rPr>
          <w:rFonts w:ascii="Arial Narrow" w:hAnsi="Arial Narrow"/>
        </w:rPr>
        <w:t xml:space="preserve">FREIRE, Paulo. </w:t>
      </w:r>
    </w:p>
    <w:p w:rsidR="005533FC" w:rsidRPr="005533FC" w:rsidRDefault="005533FC" w:rsidP="005533FC">
      <w:pPr>
        <w:spacing w:after="0" w:line="240" w:lineRule="auto"/>
        <w:jc w:val="both"/>
        <w:rPr>
          <w:rFonts w:ascii="Arial Narrow" w:hAnsi="Arial Narrow"/>
        </w:rPr>
      </w:pPr>
      <w:r>
        <w:rPr>
          <w:rFonts w:ascii="Arial Narrow" w:hAnsi="Arial Narrow"/>
        </w:rPr>
        <w:t>2011</w:t>
      </w:r>
      <w:r>
        <w:rPr>
          <w:rFonts w:ascii="Arial Narrow" w:hAnsi="Arial Narrow"/>
        </w:rPr>
        <w:tab/>
      </w:r>
      <w:r w:rsidRPr="005533FC">
        <w:rPr>
          <w:rFonts w:ascii="Arial Narrow" w:hAnsi="Arial Narrow"/>
          <w:i/>
        </w:rPr>
        <w:t>Educaçao como prática da liberdade</w:t>
      </w:r>
      <w:r w:rsidRPr="005533FC">
        <w:rPr>
          <w:rFonts w:ascii="Arial Narrow" w:hAnsi="Arial Narrow"/>
        </w:rPr>
        <w:t>. Sao Paulo: Paz e Terra.</w:t>
      </w:r>
    </w:p>
    <w:p w:rsidR="005533FC" w:rsidRPr="005533FC" w:rsidRDefault="005533FC" w:rsidP="00C35276">
      <w:pPr>
        <w:spacing w:after="0" w:line="240" w:lineRule="auto"/>
        <w:jc w:val="both"/>
        <w:rPr>
          <w:rFonts w:ascii="Arial Narrow" w:hAnsi="Arial Narrow"/>
        </w:rPr>
      </w:pPr>
    </w:p>
    <w:p w:rsidR="00C35276" w:rsidRDefault="00C35276" w:rsidP="00C35276">
      <w:pPr>
        <w:spacing w:after="0" w:line="240" w:lineRule="auto"/>
        <w:jc w:val="both"/>
        <w:rPr>
          <w:rFonts w:ascii="Arial Narrow" w:hAnsi="Arial Narrow"/>
          <w:lang w:val="en-US"/>
        </w:rPr>
      </w:pPr>
      <w:r w:rsidRPr="00C35276">
        <w:rPr>
          <w:rFonts w:ascii="Arial Narrow" w:hAnsi="Arial Narrow"/>
          <w:lang w:val="en-US"/>
        </w:rPr>
        <w:t xml:space="preserve">HARNACKE, Caroline. </w:t>
      </w:r>
    </w:p>
    <w:p w:rsidR="00C35276" w:rsidRPr="00ED04AA" w:rsidRDefault="00C35276" w:rsidP="00C35276">
      <w:pPr>
        <w:spacing w:after="0" w:line="240" w:lineRule="auto"/>
        <w:ind w:left="705" w:hanging="705"/>
        <w:jc w:val="both"/>
        <w:rPr>
          <w:rFonts w:ascii="Arial Narrow" w:hAnsi="Arial Narrow"/>
        </w:rPr>
      </w:pPr>
      <w:r>
        <w:rPr>
          <w:rFonts w:ascii="Arial Narrow" w:hAnsi="Arial Narrow"/>
          <w:lang w:val="en-US"/>
        </w:rPr>
        <w:t>2012</w:t>
      </w:r>
      <w:r>
        <w:rPr>
          <w:rFonts w:ascii="Arial Narrow" w:hAnsi="Arial Narrow"/>
          <w:lang w:val="en-US"/>
        </w:rPr>
        <w:tab/>
      </w:r>
      <w:r w:rsidRPr="00C35276">
        <w:rPr>
          <w:rFonts w:ascii="Arial Narrow" w:hAnsi="Arial Narrow"/>
          <w:lang w:val="en-US"/>
        </w:rPr>
        <w:t xml:space="preserve">“Capability and Disability: The CRPD from the Perspective of the Capabilities Approach” en ANDERSON, Joel y Jos PHILIPS (eds.), </w:t>
      </w:r>
      <w:r w:rsidRPr="00C35276">
        <w:rPr>
          <w:rFonts w:ascii="Arial Narrow" w:hAnsi="Arial Narrow"/>
          <w:i/>
          <w:lang w:val="en-US"/>
        </w:rPr>
        <w:t>Disability and Universal Human Rights: Legal, Ethical and Conceptual Implications of the Convention on the Rights of Persons with Disabilities</w:t>
      </w:r>
      <w:r w:rsidRPr="00C35276">
        <w:rPr>
          <w:rFonts w:ascii="Arial Narrow" w:hAnsi="Arial Narrow"/>
          <w:lang w:val="en-US"/>
        </w:rPr>
        <w:t xml:space="preserve">. </w:t>
      </w:r>
      <w:r w:rsidR="008E2D91" w:rsidRPr="00ED04AA">
        <w:rPr>
          <w:rFonts w:ascii="Arial Narrow" w:hAnsi="Arial Narrow"/>
        </w:rPr>
        <w:t>Utrecht: Netherlands Institute of Human Rights.</w:t>
      </w:r>
    </w:p>
    <w:p w:rsidR="00C35276" w:rsidRPr="00ED04AA" w:rsidRDefault="00C35276" w:rsidP="00C35276">
      <w:pPr>
        <w:spacing w:after="0" w:line="240" w:lineRule="auto"/>
        <w:jc w:val="both"/>
        <w:rPr>
          <w:rFonts w:ascii="Arial Narrow" w:hAnsi="Arial Narrow"/>
        </w:rPr>
      </w:pPr>
    </w:p>
    <w:p w:rsidR="00C35276" w:rsidRDefault="00C35276" w:rsidP="00C35276">
      <w:pPr>
        <w:spacing w:after="0" w:line="240" w:lineRule="auto"/>
        <w:jc w:val="both"/>
        <w:rPr>
          <w:rFonts w:ascii="Arial Narrow" w:hAnsi="Arial Narrow"/>
        </w:rPr>
      </w:pPr>
      <w:r w:rsidRPr="00C35276">
        <w:rPr>
          <w:rFonts w:ascii="Arial Narrow" w:hAnsi="Arial Narrow"/>
        </w:rPr>
        <w:t xml:space="preserve">INSTITUTO NACIONAL DE ESTADÍSTICA E INFORMACIÓN. </w:t>
      </w:r>
    </w:p>
    <w:p w:rsidR="00C35276" w:rsidRPr="00C35276" w:rsidRDefault="00C35276" w:rsidP="00C35276">
      <w:pPr>
        <w:spacing w:after="0" w:line="240" w:lineRule="auto"/>
        <w:ind w:left="705" w:hanging="705"/>
        <w:jc w:val="both"/>
        <w:rPr>
          <w:rFonts w:ascii="Arial Narrow" w:hAnsi="Arial Narrow"/>
        </w:rPr>
      </w:pPr>
      <w:r>
        <w:rPr>
          <w:rFonts w:ascii="Arial Narrow" w:hAnsi="Arial Narrow"/>
        </w:rPr>
        <w:t>2012</w:t>
      </w:r>
      <w:r>
        <w:rPr>
          <w:rFonts w:ascii="Arial Narrow" w:hAnsi="Arial Narrow"/>
        </w:rPr>
        <w:tab/>
      </w:r>
      <w:r w:rsidRPr="00C35276">
        <w:rPr>
          <w:rFonts w:ascii="Arial Narrow" w:hAnsi="Arial Narrow"/>
        </w:rPr>
        <w:t>Encuesta Nacional Especializada en Discapacidad (ENEDIS 2012). Disponible en: &lt;http://idehpucp.pucp.edu.pe/wp-content/uploads/2013/07/resultadosinei.pdf</w:t>
      </w:r>
    </w:p>
    <w:p w:rsidR="00C35276" w:rsidRDefault="00C35276" w:rsidP="00C35276">
      <w:pPr>
        <w:spacing w:after="0" w:line="240" w:lineRule="auto"/>
        <w:jc w:val="both"/>
        <w:rPr>
          <w:rFonts w:ascii="Arial Narrow" w:hAnsi="Arial Narrow"/>
        </w:rPr>
      </w:pPr>
    </w:p>
    <w:p w:rsidR="00D420C0" w:rsidRDefault="008E2D91" w:rsidP="00C35276">
      <w:pPr>
        <w:spacing w:after="0" w:line="240" w:lineRule="auto"/>
        <w:jc w:val="both"/>
        <w:rPr>
          <w:rFonts w:ascii="Arial Narrow" w:hAnsi="Arial Narrow"/>
          <w:lang w:val="en-US"/>
        </w:rPr>
      </w:pPr>
      <w:r w:rsidRPr="00ED04AA">
        <w:rPr>
          <w:rFonts w:ascii="Arial Narrow" w:hAnsi="Arial Narrow"/>
          <w:lang w:val="en-US"/>
        </w:rPr>
        <w:t>NE</w:t>
      </w:r>
      <w:r w:rsidR="00D420C0">
        <w:rPr>
          <w:rFonts w:ascii="Arial Narrow" w:hAnsi="Arial Narrow"/>
          <w:lang w:val="en-US"/>
        </w:rPr>
        <w:t>IL, Michael</w:t>
      </w:r>
    </w:p>
    <w:p w:rsidR="00D420C0" w:rsidRPr="009A15B1" w:rsidRDefault="00D420C0" w:rsidP="00C35276">
      <w:pPr>
        <w:spacing w:after="0" w:line="240" w:lineRule="auto"/>
        <w:jc w:val="both"/>
        <w:rPr>
          <w:rFonts w:ascii="Arial Narrow" w:hAnsi="Arial Narrow"/>
        </w:rPr>
      </w:pPr>
      <w:r>
        <w:rPr>
          <w:rFonts w:ascii="Arial Narrow" w:hAnsi="Arial Narrow"/>
          <w:lang w:val="en-US"/>
        </w:rPr>
        <w:t>2011</w:t>
      </w:r>
      <w:r>
        <w:rPr>
          <w:rFonts w:ascii="Arial Narrow" w:hAnsi="Arial Narrow"/>
          <w:lang w:val="en-US"/>
        </w:rPr>
        <w:tab/>
        <w:t>“</w:t>
      </w:r>
      <w:r w:rsidR="008E2D91" w:rsidRPr="00ED04AA">
        <w:rPr>
          <w:rFonts w:ascii="Arial Narrow" w:hAnsi="Arial Narrow"/>
          <w:lang w:val="en-US"/>
        </w:rPr>
        <w:t>Reasonably Confused: Human Rights and Intellectual Disability</w:t>
      </w:r>
      <w:r>
        <w:rPr>
          <w:rFonts w:ascii="Arial Narrow" w:hAnsi="Arial Narrow"/>
          <w:lang w:val="en-US"/>
        </w:rPr>
        <w:t xml:space="preserve">”. </w:t>
      </w:r>
      <w:r w:rsidR="008E2D91" w:rsidRPr="009A15B1">
        <w:rPr>
          <w:rFonts w:ascii="Arial Narrow" w:hAnsi="Arial Narrow"/>
          <w:i/>
        </w:rPr>
        <w:t>APSA 2011 Annual Meeting Paper</w:t>
      </w:r>
    </w:p>
    <w:p w:rsidR="00D420C0" w:rsidRPr="009A15B1" w:rsidRDefault="00D420C0" w:rsidP="00C35276">
      <w:pPr>
        <w:spacing w:after="0" w:line="240" w:lineRule="auto"/>
        <w:jc w:val="both"/>
        <w:rPr>
          <w:rFonts w:ascii="Arial Narrow" w:hAnsi="Arial Narrow"/>
        </w:rPr>
      </w:pPr>
    </w:p>
    <w:p w:rsidR="00C35276" w:rsidRDefault="00C35276" w:rsidP="00C35276">
      <w:pPr>
        <w:spacing w:after="0" w:line="240" w:lineRule="auto"/>
        <w:jc w:val="both"/>
        <w:rPr>
          <w:rFonts w:ascii="Arial Narrow" w:hAnsi="Arial Narrow"/>
        </w:rPr>
      </w:pPr>
      <w:r w:rsidRPr="00C35276">
        <w:rPr>
          <w:rFonts w:ascii="Arial Narrow" w:hAnsi="Arial Narrow"/>
        </w:rPr>
        <w:t xml:space="preserve">NUSSBAUM, Martha. </w:t>
      </w:r>
    </w:p>
    <w:p w:rsidR="00C35276" w:rsidRPr="00C35276" w:rsidRDefault="00C35276" w:rsidP="00C35276">
      <w:pPr>
        <w:spacing w:after="0" w:line="240" w:lineRule="auto"/>
        <w:jc w:val="both"/>
        <w:rPr>
          <w:rFonts w:ascii="Arial Narrow" w:hAnsi="Arial Narrow"/>
        </w:rPr>
      </w:pPr>
      <w:r>
        <w:rPr>
          <w:rFonts w:ascii="Arial Narrow" w:hAnsi="Arial Narrow"/>
        </w:rPr>
        <w:t>2007</w:t>
      </w:r>
      <w:r>
        <w:rPr>
          <w:rFonts w:ascii="Arial Narrow" w:hAnsi="Arial Narrow"/>
        </w:rPr>
        <w:tab/>
      </w:r>
      <w:r w:rsidRPr="00C35276">
        <w:rPr>
          <w:rFonts w:ascii="Arial Narrow" w:hAnsi="Arial Narrow"/>
          <w:i/>
        </w:rPr>
        <w:t>Las Fronteras de la Justicia: consideraciones sobre la exclusión</w:t>
      </w:r>
      <w:r w:rsidRPr="00C35276">
        <w:rPr>
          <w:rFonts w:ascii="Arial Narrow" w:hAnsi="Arial Narrow"/>
        </w:rPr>
        <w:t>. Barcelona: Paidós.</w:t>
      </w:r>
    </w:p>
    <w:p w:rsidR="00C35276" w:rsidRPr="00C35276" w:rsidRDefault="00C35276" w:rsidP="00C35276">
      <w:pPr>
        <w:spacing w:after="0" w:line="240" w:lineRule="auto"/>
        <w:jc w:val="both"/>
        <w:rPr>
          <w:rFonts w:ascii="Arial Narrow" w:hAnsi="Arial Narrow"/>
        </w:rPr>
      </w:pPr>
      <w:r>
        <w:rPr>
          <w:rFonts w:ascii="Arial Narrow" w:hAnsi="Arial Narrow"/>
        </w:rPr>
        <w:t>2012</w:t>
      </w:r>
      <w:r>
        <w:rPr>
          <w:rFonts w:ascii="Arial Narrow" w:hAnsi="Arial Narrow"/>
        </w:rPr>
        <w:tab/>
      </w:r>
      <w:r w:rsidRPr="00C35276">
        <w:rPr>
          <w:rFonts w:ascii="Arial Narrow" w:hAnsi="Arial Narrow"/>
          <w:i/>
        </w:rPr>
        <w:t>Crear capacidades: propuesta para el desarrollo humano</w:t>
      </w:r>
      <w:r w:rsidRPr="00C35276">
        <w:rPr>
          <w:rFonts w:ascii="Arial Narrow" w:hAnsi="Arial Narrow"/>
        </w:rPr>
        <w:t>. Barcelona: Paidós.</w:t>
      </w:r>
    </w:p>
    <w:p w:rsidR="00C35276" w:rsidRDefault="00C35276" w:rsidP="00C35276">
      <w:pPr>
        <w:spacing w:after="0" w:line="240" w:lineRule="auto"/>
        <w:jc w:val="both"/>
        <w:rPr>
          <w:rFonts w:ascii="Arial Narrow" w:hAnsi="Arial Narrow"/>
        </w:rPr>
      </w:pPr>
    </w:p>
    <w:p w:rsidR="005533FC" w:rsidRDefault="005533FC" w:rsidP="00C35276">
      <w:pPr>
        <w:spacing w:after="0" w:line="240" w:lineRule="auto"/>
        <w:jc w:val="both"/>
        <w:rPr>
          <w:rFonts w:ascii="Arial Narrow" w:hAnsi="Arial Narrow"/>
          <w:lang w:val="en-US"/>
        </w:rPr>
      </w:pPr>
      <w:r w:rsidRPr="005533FC">
        <w:rPr>
          <w:rFonts w:ascii="Arial Narrow" w:hAnsi="Arial Narrow"/>
          <w:lang w:val="en-US"/>
        </w:rPr>
        <w:t xml:space="preserve">OLIVER, Michael. </w:t>
      </w:r>
    </w:p>
    <w:p w:rsidR="005533FC" w:rsidRPr="009A15B1" w:rsidRDefault="005533FC" w:rsidP="005533FC">
      <w:pPr>
        <w:spacing w:after="0" w:line="240" w:lineRule="auto"/>
        <w:ind w:left="705" w:hanging="705"/>
        <w:jc w:val="both"/>
        <w:rPr>
          <w:rFonts w:ascii="Arial Narrow" w:hAnsi="Arial Narrow"/>
          <w:lang w:val="en-US"/>
        </w:rPr>
      </w:pPr>
      <w:r>
        <w:rPr>
          <w:rFonts w:ascii="Arial Narrow" w:hAnsi="Arial Narrow"/>
          <w:lang w:val="en-US"/>
        </w:rPr>
        <w:t>1990</w:t>
      </w:r>
      <w:r>
        <w:rPr>
          <w:rFonts w:ascii="Arial Narrow" w:hAnsi="Arial Narrow"/>
          <w:lang w:val="en-US"/>
        </w:rPr>
        <w:tab/>
      </w:r>
      <w:r w:rsidRPr="005533FC">
        <w:rPr>
          <w:rFonts w:ascii="Arial Narrow" w:hAnsi="Arial Narrow"/>
          <w:i/>
          <w:lang w:val="en-US"/>
        </w:rPr>
        <w:t>The Politics of Disablement: A Sociological Approach</w:t>
      </w:r>
      <w:r>
        <w:rPr>
          <w:rFonts w:ascii="Arial Narrow" w:hAnsi="Arial Narrow"/>
          <w:i/>
          <w:lang w:val="en-US"/>
        </w:rPr>
        <w:t xml:space="preserve"> (Critical Texts in Social Work</w:t>
      </w:r>
      <w:r w:rsidRPr="005533FC">
        <w:rPr>
          <w:rFonts w:ascii="Arial Narrow" w:hAnsi="Arial Narrow"/>
          <w:i/>
          <w:lang w:val="en-US"/>
        </w:rPr>
        <w:t>and the Welfare State)</w:t>
      </w:r>
      <w:r w:rsidRPr="005533FC">
        <w:rPr>
          <w:rFonts w:ascii="Arial Narrow" w:hAnsi="Arial Narrow"/>
          <w:lang w:val="en-US"/>
        </w:rPr>
        <w:t xml:space="preserve">. </w:t>
      </w:r>
      <w:r w:rsidRPr="009A15B1">
        <w:rPr>
          <w:rFonts w:ascii="Arial Narrow" w:hAnsi="Arial Narrow"/>
          <w:lang w:val="en-US"/>
        </w:rPr>
        <w:t>Palgrave Macmillan.</w:t>
      </w:r>
    </w:p>
    <w:p w:rsidR="005533FC" w:rsidRPr="00ED04AA" w:rsidRDefault="005533FC" w:rsidP="005533FC">
      <w:pPr>
        <w:spacing w:after="0" w:line="240" w:lineRule="auto"/>
        <w:jc w:val="both"/>
        <w:rPr>
          <w:rFonts w:ascii="Arial Narrow" w:hAnsi="Arial Narrow"/>
        </w:rPr>
      </w:pPr>
      <w:r w:rsidRPr="005533FC">
        <w:rPr>
          <w:rFonts w:ascii="Arial Narrow" w:hAnsi="Arial Narrow"/>
          <w:lang w:val="en-US"/>
        </w:rPr>
        <w:t>2009</w:t>
      </w:r>
      <w:r w:rsidRPr="005533FC">
        <w:rPr>
          <w:rFonts w:ascii="Arial Narrow" w:hAnsi="Arial Narrow"/>
          <w:lang w:val="en-US"/>
        </w:rPr>
        <w:tab/>
      </w:r>
      <w:r w:rsidRPr="005533FC">
        <w:rPr>
          <w:rFonts w:ascii="Arial Narrow" w:hAnsi="Arial Narrow"/>
          <w:i/>
          <w:lang w:val="en-US"/>
        </w:rPr>
        <w:t xml:space="preserve">Understanding </w:t>
      </w:r>
      <w:r w:rsidR="009A15B1" w:rsidRPr="005533FC">
        <w:rPr>
          <w:rFonts w:ascii="Arial Narrow" w:hAnsi="Arial Narrow"/>
          <w:i/>
          <w:lang w:val="en-US"/>
        </w:rPr>
        <w:t>Disability</w:t>
      </w:r>
      <w:r w:rsidRPr="005533FC">
        <w:rPr>
          <w:rFonts w:ascii="Arial Narrow" w:hAnsi="Arial Narrow"/>
          <w:i/>
          <w:lang w:val="en-US"/>
        </w:rPr>
        <w:t>: From Theory to Practice</w:t>
      </w:r>
      <w:r w:rsidRPr="005533FC">
        <w:rPr>
          <w:rFonts w:ascii="Arial Narrow" w:hAnsi="Arial Narrow"/>
          <w:lang w:val="en-US"/>
        </w:rPr>
        <w:t xml:space="preserve">. </w:t>
      </w:r>
      <w:r w:rsidR="008E2D91" w:rsidRPr="009A15B1">
        <w:rPr>
          <w:rFonts w:ascii="Arial Narrow" w:hAnsi="Arial Narrow"/>
          <w:lang w:val="en-US"/>
        </w:rPr>
        <w:t xml:space="preserve">2nd Ed. </w:t>
      </w:r>
      <w:r w:rsidR="008E2D91" w:rsidRPr="00ED04AA">
        <w:rPr>
          <w:rFonts w:ascii="Arial Narrow" w:hAnsi="Arial Narrow"/>
        </w:rPr>
        <w:t xml:space="preserve">Palgrave MacMillan. </w:t>
      </w:r>
    </w:p>
    <w:p w:rsidR="005533FC" w:rsidRPr="00ED04AA" w:rsidRDefault="005533FC" w:rsidP="005533FC">
      <w:pPr>
        <w:spacing w:after="0" w:line="240" w:lineRule="auto"/>
        <w:jc w:val="both"/>
        <w:rPr>
          <w:rFonts w:ascii="Arial Narrow" w:hAnsi="Arial Narrow"/>
        </w:rPr>
      </w:pPr>
    </w:p>
    <w:p w:rsidR="005533FC" w:rsidRDefault="005533FC" w:rsidP="005533FC">
      <w:pPr>
        <w:spacing w:after="0" w:line="240" w:lineRule="auto"/>
        <w:jc w:val="both"/>
        <w:rPr>
          <w:rFonts w:ascii="Arial Narrow" w:hAnsi="Arial Narrow"/>
        </w:rPr>
      </w:pPr>
      <w:r w:rsidRPr="005533FC">
        <w:rPr>
          <w:rFonts w:ascii="Arial Narrow" w:hAnsi="Arial Narrow"/>
        </w:rPr>
        <w:t>PALACIOS, A</w:t>
      </w:r>
      <w:r>
        <w:rPr>
          <w:rFonts w:ascii="Arial Narrow" w:hAnsi="Arial Narrow"/>
        </w:rPr>
        <w:t>gustina</w:t>
      </w:r>
      <w:r w:rsidRPr="005533FC">
        <w:rPr>
          <w:rFonts w:ascii="Arial Narrow" w:hAnsi="Arial Narrow"/>
        </w:rPr>
        <w:t>.</w:t>
      </w:r>
    </w:p>
    <w:p w:rsidR="005533FC" w:rsidRPr="005533FC" w:rsidRDefault="005533FC" w:rsidP="005533FC">
      <w:pPr>
        <w:spacing w:after="0" w:line="240" w:lineRule="auto"/>
        <w:ind w:left="705" w:hanging="705"/>
        <w:jc w:val="both"/>
        <w:rPr>
          <w:rFonts w:ascii="Arial Narrow" w:hAnsi="Arial Narrow"/>
        </w:rPr>
      </w:pPr>
      <w:r>
        <w:rPr>
          <w:rFonts w:ascii="Arial Narrow" w:hAnsi="Arial Narrow"/>
        </w:rPr>
        <w:t>2008</w:t>
      </w:r>
      <w:r>
        <w:rPr>
          <w:rFonts w:ascii="Arial Narrow" w:hAnsi="Arial Narrow"/>
        </w:rPr>
        <w:tab/>
      </w:r>
      <w:r w:rsidRPr="005533FC">
        <w:rPr>
          <w:rFonts w:ascii="Arial Narrow" w:hAnsi="Arial Narrow"/>
          <w:i/>
        </w:rPr>
        <w:t>El modelo social de discapacidad: orígenes, caracterizació</w:t>
      </w:r>
      <w:r>
        <w:rPr>
          <w:rFonts w:ascii="Arial Narrow" w:hAnsi="Arial Narrow"/>
          <w:i/>
        </w:rPr>
        <w:t xml:space="preserve">n y plasmación en la Convención </w:t>
      </w:r>
      <w:r w:rsidRPr="005533FC">
        <w:rPr>
          <w:rFonts w:ascii="Arial Narrow" w:hAnsi="Arial Narrow"/>
          <w:i/>
        </w:rPr>
        <w:t>Internacional  sobre los Derechos de las Personas con discapacidad</w:t>
      </w:r>
      <w:r>
        <w:rPr>
          <w:rFonts w:ascii="Arial Narrow" w:hAnsi="Arial Narrow"/>
        </w:rPr>
        <w:t>.</w:t>
      </w:r>
      <w:r w:rsidRPr="005533FC">
        <w:rPr>
          <w:rFonts w:ascii="Arial Narrow" w:hAnsi="Arial Narrow"/>
        </w:rPr>
        <w:t xml:space="preserve"> Madrid: Cinca.</w:t>
      </w:r>
    </w:p>
    <w:p w:rsidR="005533FC" w:rsidRDefault="005533FC" w:rsidP="00C35276">
      <w:pPr>
        <w:spacing w:after="0" w:line="240" w:lineRule="auto"/>
        <w:jc w:val="both"/>
        <w:rPr>
          <w:rFonts w:ascii="Arial Narrow" w:hAnsi="Arial Narrow"/>
        </w:rPr>
      </w:pPr>
    </w:p>
    <w:p w:rsidR="005533FC" w:rsidRDefault="005533FC" w:rsidP="005533FC">
      <w:pPr>
        <w:spacing w:after="0" w:line="240" w:lineRule="auto"/>
        <w:jc w:val="both"/>
        <w:rPr>
          <w:rFonts w:ascii="Arial Narrow" w:hAnsi="Arial Narrow"/>
        </w:rPr>
      </w:pPr>
      <w:r w:rsidRPr="005533FC">
        <w:rPr>
          <w:rFonts w:ascii="Arial Narrow" w:hAnsi="Arial Narrow"/>
        </w:rPr>
        <w:t xml:space="preserve">RAWLS, John. </w:t>
      </w:r>
    </w:p>
    <w:p w:rsidR="005533FC" w:rsidRPr="005533FC" w:rsidRDefault="005533FC" w:rsidP="005533FC">
      <w:pPr>
        <w:spacing w:after="0" w:line="240" w:lineRule="auto"/>
        <w:jc w:val="both"/>
        <w:rPr>
          <w:rFonts w:ascii="Arial Narrow" w:hAnsi="Arial Narrow"/>
        </w:rPr>
      </w:pPr>
      <w:r>
        <w:rPr>
          <w:rFonts w:ascii="Arial Narrow" w:hAnsi="Arial Narrow"/>
        </w:rPr>
        <w:lastRenderedPageBreak/>
        <w:t>2010</w:t>
      </w:r>
      <w:r>
        <w:rPr>
          <w:rFonts w:ascii="Arial Narrow" w:hAnsi="Arial Narrow"/>
        </w:rPr>
        <w:tab/>
      </w:r>
      <w:r w:rsidRPr="005533FC">
        <w:rPr>
          <w:rFonts w:ascii="Arial Narrow" w:hAnsi="Arial Narrow"/>
          <w:i/>
        </w:rPr>
        <w:t>Teoría de la justicia</w:t>
      </w:r>
      <w:r w:rsidRPr="005533FC">
        <w:rPr>
          <w:rFonts w:ascii="Arial Narrow" w:hAnsi="Arial Narrow"/>
        </w:rPr>
        <w:t>. México DF: Fondo de Cultura Económica</w:t>
      </w:r>
      <w:r>
        <w:rPr>
          <w:rFonts w:ascii="Arial Narrow" w:hAnsi="Arial Narrow"/>
        </w:rPr>
        <w:t>.</w:t>
      </w:r>
    </w:p>
    <w:p w:rsidR="005533FC" w:rsidRPr="005533FC" w:rsidRDefault="005533FC" w:rsidP="00C35276">
      <w:pPr>
        <w:spacing w:after="0" w:line="240" w:lineRule="auto"/>
        <w:jc w:val="both"/>
        <w:rPr>
          <w:rFonts w:ascii="Arial Narrow" w:hAnsi="Arial Narrow"/>
        </w:rPr>
      </w:pPr>
    </w:p>
    <w:p w:rsidR="005533FC" w:rsidRPr="00ED04AA" w:rsidRDefault="008E2D91" w:rsidP="005533FC">
      <w:pPr>
        <w:spacing w:after="0" w:line="240" w:lineRule="auto"/>
        <w:jc w:val="both"/>
        <w:rPr>
          <w:rFonts w:ascii="Arial Narrow" w:hAnsi="Arial Narrow"/>
        </w:rPr>
      </w:pPr>
      <w:r w:rsidRPr="00ED04AA">
        <w:rPr>
          <w:rFonts w:ascii="Arial Narrow" w:hAnsi="Arial Narrow"/>
        </w:rPr>
        <w:t xml:space="preserve">STEIN, Michael y Anita SILVERS, </w:t>
      </w:r>
    </w:p>
    <w:p w:rsidR="005533FC" w:rsidRPr="005533FC" w:rsidRDefault="005533FC" w:rsidP="005533FC">
      <w:pPr>
        <w:spacing w:after="0" w:line="240" w:lineRule="auto"/>
        <w:jc w:val="both"/>
        <w:rPr>
          <w:rFonts w:ascii="Arial Narrow" w:hAnsi="Arial Narrow"/>
          <w:lang w:val="en-US"/>
        </w:rPr>
      </w:pPr>
      <w:r>
        <w:rPr>
          <w:rFonts w:ascii="Arial Narrow" w:hAnsi="Arial Narrow"/>
          <w:lang w:val="en-US"/>
        </w:rPr>
        <w:t>2007</w:t>
      </w:r>
      <w:r>
        <w:rPr>
          <w:rFonts w:ascii="Arial Narrow" w:hAnsi="Arial Narrow"/>
          <w:lang w:val="en-US"/>
        </w:rPr>
        <w:tab/>
      </w:r>
      <w:r w:rsidRPr="005533FC">
        <w:rPr>
          <w:rFonts w:ascii="Arial Narrow" w:hAnsi="Arial Narrow"/>
          <w:lang w:val="en-US"/>
        </w:rPr>
        <w:t>“Disabili</w:t>
      </w:r>
      <w:r>
        <w:rPr>
          <w:rFonts w:ascii="Arial Narrow" w:hAnsi="Arial Narrow"/>
          <w:lang w:val="en-US"/>
        </w:rPr>
        <w:t xml:space="preserve">ty and the Social Contract” en </w:t>
      </w:r>
      <w:r w:rsidRPr="005533FC">
        <w:rPr>
          <w:rFonts w:ascii="Arial Narrow" w:hAnsi="Arial Narrow"/>
          <w:i/>
          <w:lang w:val="en-US"/>
        </w:rPr>
        <w:t>The University of Chicago Law Review</w:t>
      </w:r>
      <w:r w:rsidRPr="005533FC">
        <w:rPr>
          <w:rFonts w:ascii="Arial Narrow" w:hAnsi="Arial Narrow"/>
          <w:lang w:val="en-US"/>
        </w:rPr>
        <w:t>, Vol. 74,</w:t>
      </w:r>
    </w:p>
    <w:p w:rsidR="005533FC" w:rsidRDefault="005533FC" w:rsidP="00C35276">
      <w:pPr>
        <w:spacing w:after="0" w:line="240" w:lineRule="auto"/>
        <w:jc w:val="both"/>
        <w:rPr>
          <w:rFonts w:ascii="Arial Narrow" w:hAnsi="Arial Narrow"/>
          <w:lang w:val="en-US"/>
        </w:rPr>
      </w:pPr>
    </w:p>
    <w:p w:rsidR="005533FC" w:rsidRDefault="005533FC" w:rsidP="005533FC">
      <w:pPr>
        <w:spacing w:after="0" w:line="240" w:lineRule="auto"/>
        <w:jc w:val="both"/>
        <w:rPr>
          <w:rFonts w:ascii="Arial Narrow" w:hAnsi="Arial Narrow"/>
        </w:rPr>
      </w:pPr>
      <w:r w:rsidRPr="005533FC">
        <w:rPr>
          <w:rFonts w:ascii="Arial Narrow" w:hAnsi="Arial Narrow"/>
        </w:rPr>
        <w:t>TEDESCO, Juan Carlos.</w:t>
      </w:r>
    </w:p>
    <w:p w:rsidR="005533FC" w:rsidRPr="005533FC" w:rsidRDefault="005533FC" w:rsidP="005533FC">
      <w:pPr>
        <w:spacing w:after="0" w:line="240" w:lineRule="auto"/>
        <w:ind w:left="705" w:hanging="705"/>
        <w:jc w:val="both"/>
        <w:rPr>
          <w:rFonts w:ascii="Arial Narrow" w:hAnsi="Arial Narrow"/>
        </w:rPr>
      </w:pPr>
      <w:r>
        <w:rPr>
          <w:rFonts w:ascii="Arial Narrow" w:hAnsi="Arial Narrow"/>
        </w:rPr>
        <w:t>2009</w:t>
      </w:r>
      <w:r w:rsidRPr="005533FC">
        <w:rPr>
          <w:rFonts w:ascii="Arial Narrow" w:hAnsi="Arial Narrow"/>
        </w:rPr>
        <w:t xml:space="preserve"> </w:t>
      </w:r>
      <w:r>
        <w:rPr>
          <w:rFonts w:ascii="Arial Narrow" w:hAnsi="Arial Narrow"/>
        </w:rPr>
        <w:tab/>
      </w:r>
      <w:r w:rsidRPr="005533FC">
        <w:rPr>
          <w:rFonts w:ascii="Arial Narrow" w:hAnsi="Arial Narrow"/>
          <w:i/>
        </w:rPr>
        <w:t>Educación y Justicia Social en América Latina</w:t>
      </w:r>
      <w:r w:rsidRPr="005533FC">
        <w:rPr>
          <w:rFonts w:ascii="Arial Narrow" w:hAnsi="Arial Narrow"/>
        </w:rPr>
        <w:t xml:space="preserve">. Buenos Aires: Fondo de Cultura Económica y Universidad Nacional de San Martín. </w:t>
      </w:r>
    </w:p>
    <w:p w:rsidR="005533FC" w:rsidRDefault="005533FC" w:rsidP="00C35276">
      <w:pPr>
        <w:spacing w:after="0" w:line="240" w:lineRule="auto"/>
        <w:jc w:val="both"/>
        <w:rPr>
          <w:rFonts w:ascii="Arial Narrow" w:hAnsi="Arial Narrow"/>
        </w:rPr>
      </w:pPr>
    </w:p>
    <w:p w:rsidR="005533FC" w:rsidRDefault="005533FC" w:rsidP="005533FC">
      <w:pPr>
        <w:spacing w:after="0" w:line="240" w:lineRule="auto"/>
        <w:jc w:val="both"/>
        <w:rPr>
          <w:rFonts w:ascii="Arial Narrow" w:hAnsi="Arial Narrow"/>
          <w:lang w:val="en-US"/>
        </w:rPr>
      </w:pPr>
      <w:r w:rsidRPr="005533FC">
        <w:rPr>
          <w:rFonts w:ascii="Arial Narrow" w:hAnsi="Arial Narrow"/>
          <w:lang w:val="en-US"/>
        </w:rPr>
        <w:t xml:space="preserve">TERZI, Lorella. </w:t>
      </w:r>
    </w:p>
    <w:p w:rsidR="005533FC" w:rsidRPr="005533FC" w:rsidRDefault="005533FC" w:rsidP="005533FC">
      <w:pPr>
        <w:spacing w:after="0" w:line="240" w:lineRule="auto"/>
        <w:ind w:left="705" w:hanging="705"/>
        <w:jc w:val="both"/>
        <w:rPr>
          <w:rFonts w:ascii="Arial Narrow" w:hAnsi="Arial Narrow"/>
        </w:rPr>
      </w:pPr>
      <w:r>
        <w:rPr>
          <w:rFonts w:ascii="Arial Narrow" w:hAnsi="Arial Narrow"/>
          <w:lang w:val="en-US"/>
        </w:rPr>
        <w:t>2003</w:t>
      </w:r>
      <w:r>
        <w:rPr>
          <w:rFonts w:ascii="Arial Narrow" w:hAnsi="Arial Narrow"/>
          <w:lang w:val="en-US"/>
        </w:rPr>
        <w:tab/>
      </w:r>
      <w:r w:rsidRPr="005533FC">
        <w:rPr>
          <w:rFonts w:ascii="Arial Narrow" w:hAnsi="Arial Narrow"/>
          <w:lang w:val="en-US"/>
        </w:rPr>
        <w:t xml:space="preserve">“A Capability Perspective on Impairment, Disability and Special Needs: Towards Social Justice in Education”. Paper prepared for the 3rd Conference on the Capability Approach: From Sustainable Development to Sustainable Freedom - Pavia, Italy, 7-9 September 2003. </w:t>
      </w:r>
      <w:r w:rsidRPr="005533FC">
        <w:rPr>
          <w:rFonts w:ascii="Arial Narrow" w:hAnsi="Arial Narrow"/>
        </w:rPr>
        <w:t xml:space="preserve">Disponible en </w:t>
      </w:r>
      <w:hyperlink r:id="rId8" w:history="1">
        <w:r w:rsidRPr="00426D5E">
          <w:rPr>
            <w:rStyle w:val="Hipervnculo"/>
            <w:rFonts w:ascii="Arial Narrow" w:hAnsi="Arial Narrow"/>
          </w:rPr>
          <w:t>http://www-3.unipv.it/deontica/sen/papers/Terzi.pdf</w:t>
        </w:r>
      </w:hyperlink>
      <w:r>
        <w:rPr>
          <w:rFonts w:ascii="Arial Narrow" w:hAnsi="Arial Narrow"/>
        </w:rPr>
        <w:t xml:space="preserve"> </w:t>
      </w:r>
    </w:p>
    <w:p w:rsidR="005533FC" w:rsidRPr="005533FC" w:rsidRDefault="005533FC" w:rsidP="00C35276">
      <w:pPr>
        <w:spacing w:after="0" w:line="240" w:lineRule="auto"/>
        <w:jc w:val="both"/>
        <w:rPr>
          <w:rFonts w:ascii="Arial Narrow" w:hAnsi="Arial Narrow"/>
        </w:rPr>
      </w:pPr>
    </w:p>
    <w:p w:rsidR="005533FC" w:rsidRDefault="00C35276" w:rsidP="00C35276">
      <w:pPr>
        <w:spacing w:after="0" w:line="240" w:lineRule="auto"/>
        <w:jc w:val="both"/>
        <w:rPr>
          <w:rFonts w:ascii="Arial Narrow" w:hAnsi="Arial Narrow"/>
          <w:lang w:val="en-US"/>
        </w:rPr>
      </w:pPr>
      <w:r w:rsidRPr="00C35276">
        <w:rPr>
          <w:rFonts w:ascii="Arial Narrow" w:hAnsi="Arial Narrow"/>
          <w:lang w:val="en-US"/>
        </w:rPr>
        <w:t xml:space="preserve">TOMASEVSKI, Katarina. </w:t>
      </w:r>
    </w:p>
    <w:p w:rsidR="00C35276" w:rsidRPr="00C35276" w:rsidRDefault="005533FC" w:rsidP="005533FC">
      <w:pPr>
        <w:spacing w:after="0" w:line="240" w:lineRule="auto"/>
        <w:ind w:left="705" w:hanging="705"/>
        <w:jc w:val="both"/>
        <w:rPr>
          <w:rFonts w:ascii="Arial Narrow" w:hAnsi="Arial Narrow"/>
        </w:rPr>
      </w:pPr>
      <w:r>
        <w:rPr>
          <w:rFonts w:ascii="Arial Narrow" w:hAnsi="Arial Narrow"/>
          <w:lang w:val="en-US"/>
        </w:rPr>
        <w:t xml:space="preserve">2001 </w:t>
      </w:r>
      <w:r>
        <w:rPr>
          <w:rFonts w:ascii="Arial Narrow" w:hAnsi="Arial Narrow"/>
          <w:lang w:val="en-US"/>
        </w:rPr>
        <w:tab/>
      </w:r>
      <w:r w:rsidR="00C35276" w:rsidRPr="005533FC">
        <w:rPr>
          <w:rFonts w:ascii="Arial Narrow" w:hAnsi="Arial Narrow"/>
          <w:i/>
          <w:lang w:val="en-US"/>
        </w:rPr>
        <w:t>Human rights obligations: making education available, accessible, acceptable and adaptable</w:t>
      </w:r>
      <w:r w:rsidR="00C35276" w:rsidRPr="00C35276">
        <w:rPr>
          <w:rFonts w:ascii="Arial Narrow" w:hAnsi="Arial Narrow"/>
          <w:lang w:val="en-US"/>
        </w:rPr>
        <w:t xml:space="preserve">. </w:t>
      </w:r>
      <w:r w:rsidR="00C35276" w:rsidRPr="00C35276">
        <w:rPr>
          <w:rFonts w:ascii="Arial Narrow" w:hAnsi="Arial Narrow"/>
        </w:rPr>
        <w:t>Lund: Right to Education Primers, 2001,  p. 10</w:t>
      </w:r>
    </w:p>
    <w:p w:rsidR="00C35276" w:rsidRPr="00C35276" w:rsidRDefault="00C35276" w:rsidP="00C35276">
      <w:pPr>
        <w:spacing w:after="0" w:line="240" w:lineRule="auto"/>
        <w:jc w:val="both"/>
        <w:rPr>
          <w:rFonts w:ascii="Arial Narrow" w:hAnsi="Arial Narrow"/>
        </w:rPr>
      </w:pPr>
      <w:r w:rsidRPr="00C35276">
        <w:rPr>
          <w:rFonts w:ascii="Arial Narrow" w:hAnsi="Arial Narrow"/>
        </w:rPr>
        <w:t xml:space="preserve">  </w:t>
      </w:r>
    </w:p>
    <w:p w:rsidR="005533FC" w:rsidRDefault="00C35276" w:rsidP="00C35276">
      <w:pPr>
        <w:spacing w:after="0" w:line="240" w:lineRule="auto"/>
        <w:jc w:val="both"/>
        <w:rPr>
          <w:rFonts w:ascii="Arial Narrow" w:hAnsi="Arial Narrow"/>
        </w:rPr>
      </w:pPr>
      <w:r w:rsidRPr="00C35276">
        <w:rPr>
          <w:rFonts w:ascii="Arial Narrow" w:hAnsi="Arial Narrow"/>
        </w:rPr>
        <w:t xml:space="preserve">TRIBUNAL CONSTITUCIONAL DEL PERÚ. </w:t>
      </w:r>
    </w:p>
    <w:p w:rsidR="00C35276" w:rsidRPr="005533FC" w:rsidRDefault="005533FC" w:rsidP="00C35276">
      <w:pPr>
        <w:spacing w:after="0" w:line="240" w:lineRule="auto"/>
        <w:jc w:val="both"/>
        <w:rPr>
          <w:rFonts w:ascii="Arial Narrow" w:hAnsi="Arial Narrow"/>
        </w:rPr>
      </w:pPr>
      <w:r>
        <w:rPr>
          <w:rFonts w:ascii="Arial Narrow" w:hAnsi="Arial Narrow"/>
        </w:rPr>
        <w:t>2005</w:t>
      </w:r>
      <w:r>
        <w:rPr>
          <w:rFonts w:ascii="Arial Narrow" w:hAnsi="Arial Narrow"/>
        </w:rPr>
        <w:tab/>
      </w:r>
      <w:r>
        <w:rPr>
          <w:rFonts w:ascii="Arial Narrow" w:hAnsi="Arial Narrow"/>
          <w:i/>
        </w:rPr>
        <w:t xml:space="preserve">Caso Larry Jimmy Ormeño Cabrera. </w:t>
      </w:r>
      <w:r w:rsidR="00C35276" w:rsidRPr="00C35276">
        <w:rPr>
          <w:rFonts w:ascii="Arial Narrow" w:hAnsi="Arial Narrow"/>
        </w:rPr>
        <w:t xml:space="preserve">Sentencia recaída en el expediente 4232-2004-AA/TC. </w:t>
      </w:r>
    </w:p>
    <w:p w:rsidR="005533FC" w:rsidRPr="005533FC" w:rsidRDefault="005533FC" w:rsidP="00C35276">
      <w:pPr>
        <w:spacing w:after="0" w:line="240" w:lineRule="auto"/>
        <w:jc w:val="both"/>
        <w:rPr>
          <w:rFonts w:ascii="Arial Narrow" w:hAnsi="Arial Narrow"/>
        </w:rPr>
      </w:pPr>
    </w:p>
    <w:p w:rsidR="00C35276" w:rsidRPr="00ED04AA" w:rsidRDefault="00C35276" w:rsidP="00C35276">
      <w:pPr>
        <w:spacing w:after="0" w:line="240" w:lineRule="auto"/>
        <w:jc w:val="both"/>
        <w:rPr>
          <w:rFonts w:ascii="Arial Narrow" w:hAnsi="Arial Narrow"/>
        </w:rPr>
      </w:pPr>
    </w:p>
    <w:sectPr w:rsidR="00C35276" w:rsidRPr="00ED04AA" w:rsidSect="00C11DA2">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174" w:rsidRDefault="006B4174" w:rsidP="0051185D">
      <w:pPr>
        <w:spacing w:after="0" w:line="240" w:lineRule="auto"/>
      </w:pPr>
      <w:r>
        <w:separator/>
      </w:r>
    </w:p>
  </w:endnote>
  <w:endnote w:type="continuationSeparator" w:id="0">
    <w:p w:rsidR="006B4174" w:rsidRDefault="006B4174" w:rsidP="0051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81703"/>
      <w:docPartObj>
        <w:docPartGallery w:val="Page Numbers (Bottom of Page)"/>
        <w:docPartUnique/>
      </w:docPartObj>
    </w:sdtPr>
    <w:sdtEndPr/>
    <w:sdtContent>
      <w:p w:rsidR="00224963" w:rsidRDefault="0064312E">
        <w:pPr>
          <w:pStyle w:val="Piedepgina"/>
          <w:jc w:val="right"/>
        </w:pPr>
        <w:r>
          <w:fldChar w:fldCharType="begin"/>
        </w:r>
        <w:r w:rsidR="00224963">
          <w:instrText xml:space="preserve"> PAGE   \* MERGEFORMAT </w:instrText>
        </w:r>
        <w:r>
          <w:fldChar w:fldCharType="separate"/>
        </w:r>
        <w:r w:rsidR="00652A9D">
          <w:rPr>
            <w:noProof/>
          </w:rPr>
          <w:t>9</w:t>
        </w:r>
        <w:r>
          <w:rPr>
            <w:noProof/>
          </w:rPr>
          <w:fldChar w:fldCharType="end"/>
        </w:r>
      </w:p>
    </w:sdtContent>
  </w:sdt>
  <w:p w:rsidR="00224963" w:rsidRDefault="002249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174" w:rsidRDefault="006B4174" w:rsidP="0051185D">
      <w:pPr>
        <w:spacing w:after="0" w:line="240" w:lineRule="auto"/>
      </w:pPr>
      <w:r>
        <w:separator/>
      </w:r>
    </w:p>
  </w:footnote>
  <w:footnote w:type="continuationSeparator" w:id="0">
    <w:p w:rsidR="006B4174" w:rsidRDefault="006B4174" w:rsidP="0051185D">
      <w:pPr>
        <w:spacing w:after="0" w:line="240" w:lineRule="auto"/>
      </w:pPr>
      <w:r>
        <w:continuationSeparator/>
      </w:r>
    </w:p>
  </w:footnote>
  <w:footnote w:id="1">
    <w:p w:rsidR="00224963" w:rsidRPr="00816405" w:rsidRDefault="00224963" w:rsidP="00816405">
      <w:pPr>
        <w:pStyle w:val="Textonotapie"/>
        <w:jc w:val="both"/>
        <w:rPr>
          <w:rFonts w:ascii="Arial Narrow" w:hAnsi="Arial Narrow" w:cs="Arial"/>
          <w:sz w:val="18"/>
          <w:szCs w:val="18"/>
        </w:rPr>
      </w:pPr>
      <w:r w:rsidRPr="00816405">
        <w:rPr>
          <w:rStyle w:val="Refdenotaalpie"/>
          <w:rFonts w:ascii="Arial Narrow" w:hAnsi="Arial Narrow" w:cs="Arial"/>
          <w:sz w:val="18"/>
          <w:szCs w:val="18"/>
        </w:rPr>
        <w:footnoteRef/>
      </w:r>
      <w:r w:rsidRPr="00816405">
        <w:rPr>
          <w:rFonts w:ascii="Arial Narrow" w:hAnsi="Arial Narrow" w:cs="Arial"/>
          <w:sz w:val="18"/>
          <w:szCs w:val="18"/>
        </w:rPr>
        <w:t xml:space="preserve"> Declaración Universal de Derechos Humanos, artículo 26; Convenio 169 de la OIT sobre Pueblos Indígenas y Tribales en Países Independientes, artículo 26; Pacto Internacional de Derechos Económicos, Sociales y Culturales, artículo 13; Protocolo Adicional a la Convención Americana sobre Derechos Humanos en materia de Derechos Económicos, Sociales y Culturales “Protocolo de San Salvador”, artículo 13; Carta Social Europea, artículo 17.2; Convención sobre los Derechos del Niño, artículo 28, Convención Internacional sobre la Eliminación de todas las Formas de Discriminación Racial, artículo 5.e; Convención sobre la Eliminación de todas las forma de Discriminación contra la mujer , artículo  10; Carta Africana de Derechos Humanos y de los Pueblos, artículo 17.  </w:t>
      </w:r>
    </w:p>
  </w:footnote>
  <w:footnote w:id="2">
    <w:p w:rsidR="00224963" w:rsidRPr="00816405" w:rsidRDefault="00224963" w:rsidP="00816405">
      <w:pPr>
        <w:pStyle w:val="Textonotapie"/>
        <w:jc w:val="both"/>
        <w:rPr>
          <w:rFonts w:ascii="Arial Narrow" w:hAnsi="Arial Narrow" w:cs="Arial"/>
          <w:sz w:val="18"/>
          <w:szCs w:val="18"/>
        </w:rPr>
      </w:pPr>
      <w:r w:rsidRPr="00816405">
        <w:rPr>
          <w:rStyle w:val="Refdenotaalpie"/>
          <w:rFonts w:ascii="Arial Narrow" w:hAnsi="Arial Narrow" w:cs="Arial"/>
          <w:sz w:val="18"/>
          <w:szCs w:val="18"/>
        </w:rPr>
        <w:footnoteRef/>
      </w:r>
      <w:r w:rsidRPr="00816405">
        <w:rPr>
          <w:rFonts w:ascii="Arial Narrow" w:hAnsi="Arial Narrow" w:cs="Arial"/>
          <w:sz w:val="18"/>
          <w:szCs w:val="18"/>
          <w:lang w:val="en-US"/>
        </w:rPr>
        <w:t xml:space="preserve"> TOMASEVSKI, Katarina. </w:t>
      </w:r>
      <w:r w:rsidRPr="00816405">
        <w:rPr>
          <w:rFonts w:ascii="Arial Narrow" w:hAnsi="Arial Narrow" w:cs="Arial"/>
          <w:i/>
          <w:sz w:val="18"/>
          <w:szCs w:val="18"/>
          <w:lang w:val="en-US"/>
        </w:rPr>
        <w:t>Human rights obligations: making education available, accessible, acceptable and adaptable</w:t>
      </w:r>
      <w:r w:rsidRPr="00816405">
        <w:rPr>
          <w:rFonts w:ascii="Arial Narrow" w:hAnsi="Arial Narrow" w:cs="Arial"/>
          <w:sz w:val="18"/>
          <w:szCs w:val="18"/>
          <w:lang w:val="en-US"/>
        </w:rPr>
        <w:t xml:space="preserve">. </w:t>
      </w:r>
      <w:r w:rsidRPr="00816405">
        <w:rPr>
          <w:rFonts w:ascii="Arial Narrow" w:hAnsi="Arial Narrow" w:cs="Arial"/>
          <w:sz w:val="18"/>
          <w:szCs w:val="18"/>
        </w:rPr>
        <w:t>Lund: Right to Education Primers, 2001,  p. 10</w:t>
      </w:r>
    </w:p>
  </w:footnote>
  <w:footnote w:id="3">
    <w:p w:rsidR="00224963" w:rsidRPr="00816405" w:rsidRDefault="00224963" w:rsidP="00816405">
      <w:pPr>
        <w:pStyle w:val="Textonotapie"/>
        <w:jc w:val="both"/>
        <w:rPr>
          <w:rFonts w:ascii="Arial Narrow" w:hAnsi="Arial Narrow" w:cs="Arial"/>
          <w:sz w:val="18"/>
          <w:szCs w:val="18"/>
          <w:lang w:val="en-US"/>
        </w:rPr>
      </w:pPr>
      <w:r w:rsidRPr="00816405">
        <w:rPr>
          <w:rStyle w:val="Refdenotaalpie"/>
          <w:rFonts w:ascii="Arial Narrow" w:hAnsi="Arial Narrow" w:cs="Arial"/>
          <w:sz w:val="18"/>
          <w:szCs w:val="18"/>
        </w:rPr>
        <w:footnoteRef/>
      </w:r>
      <w:r w:rsidRPr="00816405">
        <w:rPr>
          <w:rFonts w:ascii="Arial Narrow" w:hAnsi="Arial Narrow" w:cs="Arial"/>
          <w:sz w:val="18"/>
          <w:szCs w:val="18"/>
        </w:rPr>
        <w:t xml:space="preserve"> COMITÉ DE DERECHOS ECONÓMICOS, SOCIALES Y CULTURALES. </w:t>
      </w:r>
      <w:r w:rsidRPr="00816405">
        <w:rPr>
          <w:rFonts w:ascii="Arial Narrow" w:hAnsi="Arial Narrow" w:cs="Arial"/>
          <w:i/>
          <w:sz w:val="18"/>
          <w:szCs w:val="18"/>
        </w:rPr>
        <w:t>Observación General 13. El derecho a la educación (artículo 13 del Pacto)</w:t>
      </w:r>
      <w:r w:rsidRPr="00816405">
        <w:rPr>
          <w:rFonts w:ascii="Arial Narrow" w:hAnsi="Arial Narrow" w:cs="Arial"/>
          <w:sz w:val="18"/>
          <w:szCs w:val="18"/>
        </w:rPr>
        <w:t xml:space="preserve"> E/C.12/1999/10. </w:t>
      </w:r>
      <w:proofErr w:type="gramStart"/>
      <w:r w:rsidRPr="00816405">
        <w:rPr>
          <w:rFonts w:ascii="Arial Narrow" w:hAnsi="Arial Narrow" w:cs="Arial"/>
          <w:sz w:val="18"/>
          <w:szCs w:val="18"/>
          <w:lang w:val="en-US"/>
        </w:rPr>
        <w:t>1999 pár.</w:t>
      </w:r>
      <w:proofErr w:type="gramEnd"/>
      <w:r w:rsidRPr="00816405">
        <w:rPr>
          <w:rFonts w:ascii="Arial Narrow" w:hAnsi="Arial Narrow" w:cs="Arial"/>
          <w:sz w:val="18"/>
          <w:szCs w:val="18"/>
          <w:lang w:val="en-US"/>
        </w:rPr>
        <w:t xml:space="preserve"> 1</w:t>
      </w:r>
    </w:p>
  </w:footnote>
  <w:footnote w:id="4">
    <w:p w:rsidR="00224963" w:rsidRPr="00816405" w:rsidRDefault="00224963" w:rsidP="00816405">
      <w:pPr>
        <w:pStyle w:val="Textonotapie"/>
        <w:jc w:val="both"/>
        <w:rPr>
          <w:rFonts w:ascii="Arial Narrow" w:hAnsi="Arial Narrow"/>
          <w:sz w:val="18"/>
          <w:szCs w:val="18"/>
          <w:lang w:val="en-US"/>
        </w:rPr>
      </w:pPr>
      <w:r w:rsidRPr="00816405">
        <w:rPr>
          <w:rStyle w:val="Refdenotaalpie"/>
          <w:rFonts w:ascii="Arial Narrow" w:hAnsi="Arial Narrow"/>
          <w:sz w:val="18"/>
          <w:szCs w:val="18"/>
        </w:rPr>
        <w:footnoteRef/>
      </w:r>
      <w:r w:rsidRPr="00816405">
        <w:rPr>
          <w:rFonts w:ascii="Arial Narrow" w:hAnsi="Arial Narrow"/>
          <w:sz w:val="18"/>
          <w:szCs w:val="18"/>
          <w:lang w:val="en-US"/>
        </w:rPr>
        <w:t xml:space="preserve"> </w:t>
      </w:r>
      <w:proofErr w:type="gramStart"/>
      <w:r w:rsidRPr="00816405">
        <w:rPr>
          <w:rFonts w:ascii="Arial Narrow" w:hAnsi="Arial Narrow"/>
          <w:sz w:val="18"/>
          <w:szCs w:val="18"/>
          <w:lang w:val="en-US"/>
        </w:rPr>
        <w:t>CORTE SUPREMA DE LOS ESTADOS UNIDOS DE AMÉRICA.</w:t>
      </w:r>
      <w:proofErr w:type="gramEnd"/>
      <w:r w:rsidRPr="00816405">
        <w:rPr>
          <w:rFonts w:ascii="Arial Narrow" w:hAnsi="Arial Narrow"/>
          <w:i/>
          <w:iCs/>
          <w:sz w:val="18"/>
          <w:szCs w:val="18"/>
          <w:lang w:val="en-US"/>
        </w:rPr>
        <w:t xml:space="preserve"> Wisconsin v Yoder</w:t>
      </w:r>
      <w:r w:rsidRPr="00816405">
        <w:rPr>
          <w:rFonts w:ascii="Arial Narrow" w:hAnsi="Arial Narrow"/>
          <w:sz w:val="18"/>
          <w:szCs w:val="18"/>
          <w:lang w:val="en-US"/>
        </w:rPr>
        <w:t>(1972) 406 US 205, 221: ‘Some degree of education is necessary to prepare citizens to participate effectively and intelligently in our open political system if we are to preserve freedom and independence’</w:t>
      </w:r>
    </w:p>
  </w:footnote>
  <w:footnote w:id="5">
    <w:p w:rsidR="00224963" w:rsidRPr="00816405" w:rsidRDefault="00224963" w:rsidP="00816405">
      <w:pPr>
        <w:pStyle w:val="Textonotapie"/>
        <w:jc w:val="both"/>
        <w:rPr>
          <w:rFonts w:ascii="Arial Narrow" w:hAnsi="Arial Narrow"/>
          <w:sz w:val="18"/>
          <w:szCs w:val="18"/>
        </w:rPr>
      </w:pPr>
      <w:r w:rsidRPr="00816405">
        <w:rPr>
          <w:rStyle w:val="Refdenotaalpie"/>
          <w:rFonts w:ascii="Arial Narrow" w:hAnsi="Arial Narrow"/>
          <w:sz w:val="18"/>
          <w:szCs w:val="18"/>
        </w:rPr>
        <w:footnoteRef/>
      </w:r>
      <w:r w:rsidRPr="00816405">
        <w:rPr>
          <w:rFonts w:ascii="Arial Narrow" w:hAnsi="Arial Narrow"/>
          <w:sz w:val="18"/>
          <w:szCs w:val="18"/>
        </w:rPr>
        <w:t xml:space="preserve"> TEDESCO, Juan Carlos. </w:t>
      </w:r>
      <w:r w:rsidRPr="00816405">
        <w:rPr>
          <w:rFonts w:ascii="Arial Narrow" w:hAnsi="Arial Narrow"/>
          <w:i/>
          <w:sz w:val="18"/>
          <w:szCs w:val="18"/>
        </w:rPr>
        <w:t>Educación y Justicia Social en América Latina</w:t>
      </w:r>
      <w:r w:rsidRPr="00816405">
        <w:rPr>
          <w:rFonts w:ascii="Arial Narrow" w:hAnsi="Arial Narrow"/>
          <w:sz w:val="18"/>
          <w:szCs w:val="18"/>
        </w:rPr>
        <w:t>. Buenos Aires: Fondo de Cultura Económica y Universidad Nacional de San Martín. 2009, p. 221</w:t>
      </w:r>
    </w:p>
  </w:footnote>
  <w:footnote w:id="6">
    <w:p w:rsidR="00224963" w:rsidRPr="00816405" w:rsidRDefault="00224963" w:rsidP="00816405">
      <w:pPr>
        <w:pStyle w:val="Textonotapie"/>
        <w:jc w:val="both"/>
        <w:rPr>
          <w:rFonts w:ascii="Arial Narrow" w:hAnsi="Arial Narrow"/>
          <w:sz w:val="18"/>
          <w:szCs w:val="18"/>
        </w:rPr>
      </w:pPr>
      <w:r w:rsidRPr="00816405">
        <w:rPr>
          <w:rStyle w:val="Refdenotaalpie"/>
          <w:rFonts w:ascii="Arial Narrow" w:hAnsi="Arial Narrow"/>
          <w:sz w:val="18"/>
          <w:szCs w:val="18"/>
        </w:rPr>
        <w:footnoteRef/>
      </w:r>
      <w:r w:rsidRPr="00816405">
        <w:rPr>
          <w:rFonts w:ascii="Arial Narrow" w:hAnsi="Arial Narrow"/>
          <w:sz w:val="18"/>
          <w:szCs w:val="18"/>
        </w:rPr>
        <w:t xml:space="preserve"> NUSSBAUM, Martha. </w:t>
      </w:r>
      <w:r w:rsidRPr="00816405">
        <w:rPr>
          <w:rFonts w:ascii="Arial Narrow" w:hAnsi="Arial Narrow"/>
          <w:i/>
          <w:sz w:val="18"/>
          <w:szCs w:val="18"/>
        </w:rPr>
        <w:t>Crear capacidades</w:t>
      </w:r>
      <w:r w:rsidR="000D3908" w:rsidRPr="00816405">
        <w:rPr>
          <w:rFonts w:ascii="Arial Narrow" w:hAnsi="Arial Narrow"/>
          <w:i/>
          <w:sz w:val="18"/>
          <w:szCs w:val="18"/>
        </w:rPr>
        <w:t>. Óp. Cit.</w:t>
      </w:r>
      <w:r w:rsidRPr="00816405">
        <w:rPr>
          <w:rFonts w:ascii="Arial Narrow" w:hAnsi="Arial Narrow"/>
          <w:sz w:val="18"/>
          <w:szCs w:val="18"/>
        </w:rPr>
        <w:t>, p. 45</w:t>
      </w:r>
    </w:p>
  </w:footnote>
  <w:footnote w:id="7">
    <w:p w:rsidR="00224963" w:rsidRPr="00721173" w:rsidRDefault="00224963" w:rsidP="00816405">
      <w:pPr>
        <w:pStyle w:val="Textonotapie"/>
        <w:jc w:val="both"/>
        <w:rPr>
          <w:rFonts w:ascii="Arial Narrow" w:hAnsi="Arial Narrow"/>
          <w:sz w:val="18"/>
          <w:szCs w:val="18"/>
          <w:lang w:val="en-US"/>
        </w:rPr>
      </w:pPr>
      <w:r w:rsidRPr="00816405">
        <w:rPr>
          <w:rStyle w:val="Refdenotaalpie"/>
          <w:rFonts w:ascii="Arial Narrow" w:hAnsi="Arial Narrow"/>
          <w:sz w:val="18"/>
          <w:szCs w:val="18"/>
        </w:rPr>
        <w:footnoteRef/>
      </w:r>
      <w:r w:rsidRPr="00816405">
        <w:rPr>
          <w:rFonts w:ascii="Arial Narrow" w:hAnsi="Arial Narrow"/>
          <w:sz w:val="18"/>
          <w:szCs w:val="18"/>
        </w:rPr>
        <w:t xml:space="preserve"> NUSSBAUM, Martha. </w:t>
      </w:r>
      <w:r w:rsidRPr="00816405">
        <w:rPr>
          <w:rFonts w:ascii="Arial Narrow" w:hAnsi="Arial Narrow"/>
          <w:i/>
          <w:sz w:val="18"/>
          <w:szCs w:val="18"/>
        </w:rPr>
        <w:t>Las Fronteras de la Justicia</w:t>
      </w:r>
      <w:r w:rsidR="000D3908" w:rsidRPr="00816405">
        <w:rPr>
          <w:rFonts w:ascii="Arial Narrow" w:eastAsiaTheme="minorHAnsi" w:hAnsi="Arial Narrow"/>
          <w:i/>
          <w:sz w:val="18"/>
          <w:szCs w:val="18"/>
          <w:lang w:eastAsia="en-US"/>
        </w:rPr>
        <w:t xml:space="preserve"> </w:t>
      </w:r>
      <w:r w:rsidR="000D3908" w:rsidRPr="00816405">
        <w:rPr>
          <w:rFonts w:ascii="Arial Narrow" w:hAnsi="Arial Narrow"/>
          <w:i/>
          <w:sz w:val="18"/>
          <w:szCs w:val="18"/>
        </w:rPr>
        <w:t xml:space="preserve">Óp. </w:t>
      </w:r>
      <w:r w:rsidR="000D3908" w:rsidRPr="00721173">
        <w:rPr>
          <w:rFonts w:ascii="Arial Narrow" w:hAnsi="Arial Narrow"/>
          <w:i/>
          <w:sz w:val="18"/>
          <w:szCs w:val="18"/>
          <w:lang w:val="en-US"/>
        </w:rPr>
        <w:t>Cit.</w:t>
      </w:r>
      <w:r w:rsidRPr="00721173">
        <w:rPr>
          <w:rFonts w:ascii="Arial Narrow" w:hAnsi="Arial Narrow"/>
          <w:sz w:val="18"/>
          <w:szCs w:val="18"/>
          <w:lang w:val="en-US"/>
        </w:rPr>
        <w:t>, p. 169</w:t>
      </w:r>
    </w:p>
  </w:footnote>
  <w:footnote w:id="8">
    <w:p w:rsidR="00224963" w:rsidRPr="00721173" w:rsidRDefault="00224963" w:rsidP="00816405">
      <w:pPr>
        <w:pStyle w:val="Textonotapie"/>
        <w:jc w:val="both"/>
        <w:rPr>
          <w:rFonts w:ascii="Arial Narrow" w:hAnsi="Arial Narrow"/>
          <w:sz w:val="18"/>
          <w:szCs w:val="18"/>
          <w:lang w:val="en-US"/>
        </w:rPr>
      </w:pPr>
      <w:r w:rsidRPr="00816405">
        <w:rPr>
          <w:rStyle w:val="Refdenotaalpie"/>
          <w:rFonts w:ascii="Arial Narrow" w:hAnsi="Arial Narrow"/>
          <w:sz w:val="18"/>
          <w:szCs w:val="18"/>
        </w:rPr>
        <w:footnoteRef/>
      </w:r>
      <w:r w:rsidRPr="00721173">
        <w:rPr>
          <w:rFonts w:ascii="Arial Narrow" w:hAnsi="Arial Narrow"/>
          <w:sz w:val="18"/>
          <w:szCs w:val="18"/>
          <w:lang w:val="en-US"/>
        </w:rPr>
        <w:t xml:space="preserve"> </w:t>
      </w:r>
      <w:r w:rsidR="009A15B1" w:rsidRPr="00721173">
        <w:rPr>
          <w:rFonts w:ascii="Arial Narrow" w:hAnsi="Arial Narrow"/>
          <w:sz w:val="18"/>
          <w:szCs w:val="18"/>
          <w:lang w:val="en-US"/>
        </w:rPr>
        <w:t>Ibíd.</w:t>
      </w:r>
      <w:r w:rsidRPr="00721173">
        <w:rPr>
          <w:rFonts w:ascii="Arial Narrow" w:hAnsi="Arial Narrow"/>
          <w:sz w:val="18"/>
          <w:szCs w:val="18"/>
          <w:lang w:val="en-US"/>
        </w:rPr>
        <w:t>, pp. 53-54.</w:t>
      </w:r>
    </w:p>
  </w:footnote>
  <w:footnote w:id="9">
    <w:p w:rsidR="00224963" w:rsidRPr="00816405" w:rsidRDefault="00224963" w:rsidP="00816405">
      <w:pPr>
        <w:pStyle w:val="Textonotapie"/>
        <w:jc w:val="both"/>
        <w:rPr>
          <w:rFonts w:ascii="Arial Narrow" w:hAnsi="Arial Narrow"/>
          <w:sz w:val="18"/>
          <w:szCs w:val="18"/>
        </w:rPr>
      </w:pPr>
      <w:r w:rsidRPr="00816405">
        <w:rPr>
          <w:rStyle w:val="Refdenotaalpie"/>
          <w:rFonts w:ascii="Arial Narrow" w:hAnsi="Arial Narrow"/>
          <w:sz w:val="18"/>
          <w:szCs w:val="18"/>
        </w:rPr>
        <w:footnoteRef/>
      </w:r>
      <w:r w:rsidRPr="00721173">
        <w:rPr>
          <w:rFonts w:ascii="Arial Narrow" w:hAnsi="Arial Narrow"/>
          <w:sz w:val="18"/>
          <w:szCs w:val="18"/>
          <w:lang w:val="en-US"/>
        </w:rPr>
        <w:t xml:space="preserve"> NUSSBAUM, Martha. </w:t>
      </w:r>
      <w:r w:rsidRPr="00816405">
        <w:rPr>
          <w:rFonts w:ascii="Arial Narrow" w:hAnsi="Arial Narrow"/>
          <w:i/>
          <w:sz w:val="18"/>
          <w:szCs w:val="18"/>
        </w:rPr>
        <w:t>Crear capacidades</w:t>
      </w:r>
      <w:r w:rsidR="000D3908" w:rsidRPr="00816405">
        <w:rPr>
          <w:rFonts w:ascii="Arial Narrow" w:eastAsiaTheme="minorHAnsi" w:hAnsi="Arial Narrow"/>
          <w:i/>
          <w:sz w:val="18"/>
          <w:szCs w:val="18"/>
          <w:lang w:eastAsia="en-US"/>
        </w:rPr>
        <w:t xml:space="preserve"> </w:t>
      </w:r>
      <w:r w:rsidR="000D3908" w:rsidRPr="00816405">
        <w:rPr>
          <w:rFonts w:ascii="Arial Narrow" w:hAnsi="Arial Narrow"/>
          <w:i/>
          <w:sz w:val="18"/>
          <w:szCs w:val="18"/>
        </w:rPr>
        <w:t>Óp. Cit.</w:t>
      </w:r>
      <w:r w:rsidRPr="00816405">
        <w:rPr>
          <w:rFonts w:ascii="Arial Narrow" w:hAnsi="Arial Narrow"/>
          <w:sz w:val="18"/>
          <w:szCs w:val="18"/>
        </w:rPr>
        <w:t>, p. 41</w:t>
      </w:r>
    </w:p>
  </w:footnote>
  <w:footnote w:id="10">
    <w:p w:rsidR="00224963" w:rsidRPr="00816405" w:rsidRDefault="00224963" w:rsidP="00816405">
      <w:pPr>
        <w:pStyle w:val="Textonotapie"/>
        <w:jc w:val="both"/>
        <w:rPr>
          <w:rFonts w:ascii="Arial Narrow" w:hAnsi="Arial Narrow"/>
          <w:sz w:val="18"/>
          <w:szCs w:val="18"/>
        </w:rPr>
      </w:pPr>
      <w:r w:rsidRPr="00816405">
        <w:rPr>
          <w:rStyle w:val="Refdenotaalpie"/>
          <w:rFonts w:ascii="Arial Narrow" w:hAnsi="Arial Narrow"/>
          <w:sz w:val="18"/>
          <w:szCs w:val="18"/>
        </w:rPr>
        <w:footnoteRef/>
      </w:r>
      <w:r w:rsidRPr="00816405">
        <w:rPr>
          <w:rFonts w:ascii="Arial Narrow" w:hAnsi="Arial Narrow"/>
          <w:sz w:val="18"/>
          <w:szCs w:val="18"/>
        </w:rPr>
        <w:t xml:space="preserve"> NUSSBAUM, Martha. </w:t>
      </w:r>
      <w:r w:rsidRPr="00816405">
        <w:rPr>
          <w:rFonts w:ascii="Arial Narrow" w:hAnsi="Arial Narrow"/>
          <w:i/>
          <w:sz w:val="18"/>
          <w:szCs w:val="18"/>
        </w:rPr>
        <w:t>Las Fronteras de la Justicia</w:t>
      </w:r>
      <w:r w:rsidR="000D3908" w:rsidRPr="00816405">
        <w:rPr>
          <w:rFonts w:ascii="Arial Narrow" w:eastAsiaTheme="minorHAnsi" w:hAnsi="Arial Narrow"/>
          <w:i/>
          <w:sz w:val="18"/>
          <w:szCs w:val="18"/>
          <w:lang w:eastAsia="en-US"/>
        </w:rPr>
        <w:t xml:space="preserve"> </w:t>
      </w:r>
      <w:r w:rsidR="000D3908" w:rsidRPr="00816405">
        <w:rPr>
          <w:rFonts w:ascii="Arial Narrow" w:hAnsi="Arial Narrow"/>
          <w:i/>
          <w:sz w:val="18"/>
          <w:szCs w:val="18"/>
        </w:rPr>
        <w:t>Óp. Cit.</w:t>
      </w:r>
      <w:r w:rsidRPr="00816405">
        <w:rPr>
          <w:rFonts w:ascii="Arial Narrow" w:hAnsi="Arial Narrow"/>
          <w:sz w:val="18"/>
          <w:szCs w:val="18"/>
        </w:rPr>
        <w:t>, p. 178</w:t>
      </w:r>
    </w:p>
  </w:footnote>
  <w:footnote w:id="11">
    <w:p w:rsidR="00224963" w:rsidRPr="00816405" w:rsidRDefault="00224963" w:rsidP="00816405">
      <w:pPr>
        <w:pStyle w:val="Textonotapie"/>
        <w:jc w:val="both"/>
        <w:rPr>
          <w:rFonts w:ascii="Arial Narrow" w:hAnsi="Arial Narrow"/>
          <w:sz w:val="18"/>
          <w:szCs w:val="18"/>
        </w:rPr>
      </w:pPr>
      <w:r w:rsidRPr="00816405">
        <w:rPr>
          <w:rStyle w:val="Refdenotaalpie"/>
          <w:rFonts w:ascii="Arial Narrow" w:hAnsi="Arial Narrow"/>
          <w:sz w:val="18"/>
          <w:szCs w:val="18"/>
        </w:rPr>
        <w:footnoteRef/>
      </w:r>
      <w:r w:rsidRPr="00816405">
        <w:rPr>
          <w:rFonts w:ascii="Arial Narrow" w:hAnsi="Arial Narrow"/>
          <w:sz w:val="18"/>
          <w:szCs w:val="18"/>
        </w:rPr>
        <w:t xml:space="preserve"> COMITÉ DE DERECHOS ECONÓMICOS, SOCIALES Y CULTURALES. </w:t>
      </w:r>
      <w:r w:rsidRPr="00816405">
        <w:rPr>
          <w:rFonts w:ascii="Arial Narrow" w:hAnsi="Arial Narrow"/>
          <w:i/>
          <w:sz w:val="18"/>
          <w:szCs w:val="18"/>
        </w:rPr>
        <w:t>Observación General 13. El derecho a la educación (artículo 13 del Pacto)</w:t>
      </w:r>
      <w:r w:rsidRPr="00816405">
        <w:rPr>
          <w:rFonts w:ascii="Arial Narrow" w:hAnsi="Arial Narrow"/>
          <w:sz w:val="18"/>
          <w:szCs w:val="18"/>
        </w:rPr>
        <w:t xml:space="preserve"> E/C.12/1999/10. 1999 pár. 6</w:t>
      </w:r>
    </w:p>
  </w:footnote>
  <w:footnote w:id="12">
    <w:p w:rsidR="00224963" w:rsidRPr="00816405" w:rsidRDefault="00224963" w:rsidP="00816405">
      <w:pPr>
        <w:pStyle w:val="Textonotapie"/>
        <w:jc w:val="both"/>
        <w:rPr>
          <w:rFonts w:ascii="Arial Narrow" w:hAnsi="Arial Narrow"/>
          <w:sz w:val="18"/>
          <w:szCs w:val="18"/>
        </w:rPr>
      </w:pPr>
      <w:r w:rsidRPr="00816405">
        <w:rPr>
          <w:rStyle w:val="Refdenotaalpie"/>
          <w:rFonts w:ascii="Arial Narrow" w:hAnsi="Arial Narrow"/>
          <w:sz w:val="18"/>
          <w:szCs w:val="18"/>
        </w:rPr>
        <w:footnoteRef/>
      </w:r>
      <w:r w:rsidRPr="00816405">
        <w:rPr>
          <w:rFonts w:ascii="Arial Narrow" w:hAnsi="Arial Narrow"/>
          <w:sz w:val="18"/>
          <w:szCs w:val="18"/>
        </w:rPr>
        <w:t xml:space="preserve"> </w:t>
      </w:r>
      <w:r w:rsidRPr="00816405">
        <w:rPr>
          <w:rFonts w:ascii="Arial Narrow" w:hAnsi="Arial Narrow"/>
          <w:bCs/>
          <w:sz w:val="18"/>
          <w:szCs w:val="18"/>
        </w:rPr>
        <w:t xml:space="preserve">INSTITUTO NACIONAL DE ESTADÍSTICA E INFORMACIÓN. </w:t>
      </w:r>
      <w:r w:rsidRPr="00816405">
        <w:rPr>
          <w:rFonts w:ascii="Arial Narrow" w:hAnsi="Arial Narrow"/>
          <w:bCs/>
          <w:i/>
          <w:sz w:val="18"/>
          <w:szCs w:val="18"/>
        </w:rPr>
        <w:t>Encuesta Nacional Especializada en Discapacidad (ENEDIS 2012)</w:t>
      </w:r>
      <w:r w:rsidRPr="00816405">
        <w:rPr>
          <w:rFonts w:ascii="Arial Narrow" w:hAnsi="Arial Narrow"/>
          <w:bCs/>
          <w:sz w:val="18"/>
          <w:szCs w:val="18"/>
        </w:rPr>
        <w:t>. 2012. Disponible en: &lt;</w:t>
      </w:r>
      <w:hyperlink r:id="rId1" w:history="1">
        <w:r w:rsidRPr="00816405">
          <w:rPr>
            <w:rStyle w:val="Hipervnculo"/>
            <w:rFonts w:ascii="Arial Narrow" w:hAnsi="Arial Narrow"/>
            <w:bCs/>
            <w:sz w:val="18"/>
            <w:szCs w:val="18"/>
          </w:rPr>
          <w:t>http://idehpucp.pucp.edu.pe/wp-content/uploads/2013/07/resultadosinei.pdf</w:t>
        </w:r>
      </w:hyperlink>
    </w:p>
  </w:footnote>
  <w:footnote w:id="13">
    <w:p w:rsidR="00224963" w:rsidRPr="00816405" w:rsidRDefault="00224963" w:rsidP="00816405">
      <w:pPr>
        <w:pStyle w:val="Textonotapie"/>
        <w:jc w:val="both"/>
        <w:rPr>
          <w:rFonts w:ascii="Arial Narrow" w:hAnsi="Arial Narrow"/>
          <w:sz w:val="18"/>
          <w:szCs w:val="18"/>
          <w:lang w:val="es-ES_tradnl"/>
        </w:rPr>
      </w:pPr>
      <w:r w:rsidRPr="00816405">
        <w:rPr>
          <w:rStyle w:val="Refdenotaalpie"/>
          <w:rFonts w:ascii="Arial Narrow" w:hAnsi="Arial Narrow"/>
          <w:sz w:val="18"/>
          <w:szCs w:val="18"/>
        </w:rPr>
        <w:footnoteRef/>
      </w:r>
      <w:r w:rsidRPr="00816405">
        <w:rPr>
          <w:rFonts w:ascii="Arial Narrow" w:hAnsi="Arial Narrow"/>
          <w:sz w:val="18"/>
          <w:szCs w:val="18"/>
        </w:rPr>
        <w:t xml:space="preserve"> </w:t>
      </w:r>
      <w:r w:rsidRPr="00816405">
        <w:rPr>
          <w:rFonts w:ascii="Arial Narrow" w:hAnsi="Arial Narrow"/>
          <w:sz w:val="18"/>
          <w:szCs w:val="18"/>
          <w:lang w:val="es-ES_tradnl"/>
        </w:rPr>
        <w:t xml:space="preserve">De acuerdo con la Convención sobre los Derechos de las Personas con Discapacidad, la discapacidad es un concepto que evoluciona y que resulta de la </w:t>
      </w:r>
      <w:r w:rsidR="000D3908" w:rsidRPr="00816405">
        <w:rPr>
          <w:rFonts w:ascii="Arial Narrow" w:hAnsi="Arial Narrow"/>
          <w:sz w:val="18"/>
          <w:szCs w:val="18"/>
          <w:lang w:val="es-ES_tradnl"/>
        </w:rPr>
        <w:t>interacción</w:t>
      </w:r>
      <w:r w:rsidRPr="00816405">
        <w:rPr>
          <w:rFonts w:ascii="Arial Narrow" w:hAnsi="Arial Narrow"/>
          <w:sz w:val="18"/>
          <w:szCs w:val="18"/>
          <w:lang w:val="es-ES_tradnl"/>
        </w:rPr>
        <w:t xml:space="preserve"> entre las personas con deficiencias y las barreras debidas a la actitud y al entorno que evitan su </w:t>
      </w:r>
      <w:r w:rsidR="000D3908" w:rsidRPr="00816405">
        <w:rPr>
          <w:rFonts w:ascii="Arial Narrow" w:hAnsi="Arial Narrow"/>
          <w:sz w:val="18"/>
          <w:szCs w:val="18"/>
          <w:lang w:val="es-ES_tradnl"/>
        </w:rPr>
        <w:t>participación</w:t>
      </w:r>
      <w:r w:rsidRPr="00816405">
        <w:rPr>
          <w:rFonts w:ascii="Arial Narrow" w:hAnsi="Arial Narrow"/>
          <w:sz w:val="18"/>
          <w:szCs w:val="18"/>
          <w:lang w:val="es-ES_tradnl"/>
        </w:rPr>
        <w:t xml:space="preserve"> plena y efectiva en la sociedad, en igualdad de condiciones con las </w:t>
      </w:r>
      <w:r w:rsidR="000D3908" w:rsidRPr="00816405">
        <w:rPr>
          <w:rFonts w:ascii="Arial Narrow" w:hAnsi="Arial Narrow"/>
          <w:sz w:val="18"/>
          <w:szCs w:val="18"/>
          <w:lang w:val="es-ES_tradnl"/>
        </w:rPr>
        <w:t>demás</w:t>
      </w:r>
      <w:r w:rsidRPr="00816405">
        <w:rPr>
          <w:rFonts w:ascii="Arial Narrow" w:hAnsi="Arial Narrow"/>
          <w:sz w:val="18"/>
          <w:szCs w:val="18"/>
          <w:lang w:val="es-ES_tradnl"/>
        </w:rPr>
        <w:t>,</w:t>
      </w:r>
    </w:p>
  </w:footnote>
  <w:footnote w:id="14">
    <w:p w:rsidR="00224963" w:rsidRPr="00816405" w:rsidRDefault="00224963" w:rsidP="00816405">
      <w:pPr>
        <w:pStyle w:val="Textonotapie"/>
        <w:jc w:val="both"/>
        <w:rPr>
          <w:rFonts w:ascii="Arial Narrow" w:hAnsi="Arial Narrow"/>
          <w:sz w:val="18"/>
          <w:szCs w:val="18"/>
          <w:lang w:val="en-US"/>
        </w:rPr>
      </w:pPr>
      <w:r w:rsidRPr="00816405">
        <w:rPr>
          <w:rStyle w:val="Refdenotaalpie"/>
          <w:rFonts w:ascii="Arial Narrow" w:hAnsi="Arial Narrow"/>
          <w:sz w:val="18"/>
          <w:szCs w:val="18"/>
        </w:rPr>
        <w:footnoteRef/>
      </w:r>
      <w:r w:rsidRPr="00816405">
        <w:rPr>
          <w:rFonts w:ascii="Arial Narrow" w:hAnsi="Arial Narrow"/>
          <w:sz w:val="18"/>
          <w:szCs w:val="18"/>
          <w:lang w:val="en-US"/>
        </w:rPr>
        <w:t xml:space="preserve"> OLIVER, Michael. </w:t>
      </w:r>
      <w:r w:rsidRPr="00816405">
        <w:rPr>
          <w:rFonts w:ascii="Arial Narrow" w:hAnsi="Arial Narrow"/>
          <w:i/>
          <w:sz w:val="18"/>
          <w:szCs w:val="18"/>
          <w:lang w:val="en-US"/>
        </w:rPr>
        <w:t xml:space="preserve">Understanding </w:t>
      </w:r>
      <w:r w:rsidR="000D3908" w:rsidRPr="00816405">
        <w:rPr>
          <w:rFonts w:ascii="Arial Narrow" w:hAnsi="Arial Narrow"/>
          <w:i/>
          <w:sz w:val="18"/>
          <w:szCs w:val="18"/>
          <w:lang w:val="en-US"/>
        </w:rPr>
        <w:t>Disability</w:t>
      </w:r>
      <w:r w:rsidRPr="00816405">
        <w:rPr>
          <w:rFonts w:ascii="Arial Narrow" w:hAnsi="Arial Narrow"/>
          <w:i/>
          <w:sz w:val="18"/>
          <w:szCs w:val="18"/>
          <w:lang w:val="en-US"/>
        </w:rPr>
        <w:t xml:space="preserve">: From Theory to Practice. </w:t>
      </w:r>
      <w:proofErr w:type="gramStart"/>
      <w:r w:rsidRPr="00816405">
        <w:rPr>
          <w:rFonts w:ascii="Arial Narrow" w:hAnsi="Arial Narrow"/>
          <w:sz w:val="18"/>
          <w:szCs w:val="18"/>
          <w:lang w:val="en-US"/>
        </w:rPr>
        <w:t>2</w:t>
      </w:r>
      <w:r w:rsidRPr="00816405">
        <w:rPr>
          <w:rFonts w:ascii="Arial Narrow" w:hAnsi="Arial Narrow"/>
          <w:sz w:val="18"/>
          <w:szCs w:val="18"/>
          <w:vertAlign w:val="superscript"/>
          <w:lang w:val="en-US"/>
        </w:rPr>
        <w:t>nd</w:t>
      </w:r>
      <w:r w:rsidRPr="00816405">
        <w:rPr>
          <w:rFonts w:ascii="Arial Narrow" w:hAnsi="Arial Narrow"/>
          <w:sz w:val="18"/>
          <w:szCs w:val="18"/>
          <w:lang w:val="en-US"/>
        </w:rPr>
        <w:t xml:space="preserve"> Ed. Palgrave MacMillan.</w:t>
      </w:r>
      <w:proofErr w:type="gramEnd"/>
      <w:r w:rsidRPr="00816405">
        <w:rPr>
          <w:rFonts w:ascii="Arial Narrow" w:hAnsi="Arial Narrow"/>
          <w:sz w:val="18"/>
          <w:szCs w:val="18"/>
          <w:lang w:val="en-US"/>
        </w:rPr>
        <w:t xml:space="preserve"> </w:t>
      </w:r>
      <w:proofErr w:type="gramStart"/>
      <w:r w:rsidRPr="00816405">
        <w:rPr>
          <w:rFonts w:ascii="Arial Narrow" w:hAnsi="Arial Narrow"/>
          <w:sz w:val="18"/>
          <w:szCs w:val="18"/>
          <w:lang w:val="en-US"/>
        </w:rPr>
        <w:t>2009, p. 48.</w:t>
      </w:r>
      <w:proofErr w:type="gramEnd"/>
    </w:p>
  </w:footnote>
  <w:footnote w:id="15">
    <w:p w:rsidR="00224963" w:rsidRPr="00816405" w:rsidRDefault="00224963" w:rsidP="00816405">
      <w:pPr>
        <w:pStyle w:val="Textonotapie"/>
        <w:jc w:val="both"/>
        <w:rPr>
          <w:rFonts w:ascii="Arial Narrow" w:hAnsi="Arial Narrow"/>
          <w:b/>
          <w:bCs/>
          <w:sz w:val="18"/>
          <w:szCs w:val="18"/>
        </w:rPr>
      </w:pPr>
      <w:r w:rsidRPr="00816405">
        <w:rPr>
          <w:rStyle w:val="Refdenotaalpie"/>
          <w:rFonts w:ascii="Arial Narrow" w:hAnsi="Arial Narrow"/>
          <w:sz w:val="18"/>
          <w:szCs w:val="18"/>
        </w:rPr>
        <w:footnoteRef/>
      </w:r>
      <w:r w:rsidRPr="00816405">
        <w:rPr>
          <w:rFonts w:ascii="Arial Narrow" w:hAnsi="Arial Narrow"/>
          <w:sz w:val="18"/>
          <w:szCs w:val="18"/>
          <w:lang w:val="en-US"/>
        </w:rPr>
        <w:t xml:space="preserve"> OLIVER, Michael. </w:t>
      </w:r>
      <w:r w:rsidRPr="00816405">
        <w:rPr>
          <w:rFonts w:ascii="Arial Narrow" w:hAnsi="Arial Narrow"/>
          <w:bCs/>
          <w:i/>
          <w:sz w:val="18"/>
          <w:szCs w:val="18"/>
          <w:lang w:val="en-US"/>
        </w:rPr>
        <w:t>The Politics of Disablement: A Sociological Approach (Critical Texts in Social Work and the Welfare State)</w:t>
      </w:r>
      <w:r w:rsidRPr="00816405">
        <w:rPr>
          <w:rFonts w:ascii="Arial Narrow" w:hAnsi="Arial Narrow"/>
          <w:bCs/>
          <w:sz w:val="18"/>
          <w:szCs w:val="18"/>
          <w:lang w:val="en-US"/>
        </w:rPr>
        <w:t xml:space="preserve">. </w:t>
      </w:r>
      <w:r w:rsidRPr="00816405">
        <w:rPr>
          <w:rFonts w:ascii="Arial Narrow" w:hAnsi="Arial Narrow"/>
          <w:bCs/>
          <w:sz w:val="18"/>
          <w:szCs w:val="18"/>
        </w:rPr>
        <w:t>Palgrave Macmillan. 1990.</w:t>
      </w:r>
      <w:r w:rsidRPr="00816405">
        <w:rPr>
          <w:rFonts w:ascii="Arial Narrow" w:hAnsi="Arial Narrow"/>
          <w:b/>
          <w:bCs/>
          <w:sz w:val="18"/>
          <w:szCs w:val="18"/>
        </w:rPr>
        <w:t> </w:t>
      </w:r>
    </w:p>
  </w:footnote>
  <w:footnote w:id="16">
    <w:p w:rsidR="00224963" w:rsidRPr="00816405" w:rsidRDefault="00224963" w:rsidP="00816405">
      <w:pPr>
        <w:pStyle w:val="Textonotapie"/>
        <w:jc w:val="both"/>
        <w:rPr>
          <w:rFonts w:ascii="Arial Narrow" w:hAnsi="Arial Narrow"/>
          <w:sz w:val="18"/>
          <w:szCs w:val="18"/>
          <w:lang w:val="es-ES_tradnl"/>
        </w:rPr>
      </w:pPr>
      <w:r w:rsidRPr="00816405">
        <w:rPr>
          <w:rStyle w:val="Refdenotaalpie"/>
          <w:rFonts w:ascii="Arial Narrow" w:hAnsi="Arial Narrow"/>
          <w:sz w:val="18"/>
          <w:szCs w:val="18"/>
        </w:rPr>
        <w:footnoteRef/>
      </w:r>
      <w:r w:rsidRPr="00816405">
        <w:rPr>
          <w:rFonts w:ascii="Arial Narrow" w:hAnsi="Arial Narrow"/>
          <w:sz w:val="18"/>
          <w:szCs w:val="18"/>
        </w:rPr>
        <w:t xml:space="preserve"> </w:t>
      </w:r>
      <w:r w:rsidR="00284E4C" w:rsidRPr="00816405">
        <w:rPr>
          <w:rFonts w:ascii="Arial Narrow" w:hAnsi="Arial Narrow"/>
          <w:sz w:val="18"/>
          <w:szCs w:val="18"/>
        </w:rPr>
        <w:t xml:space="preserve">NUSSBAUM, MARTHA. </w:t>
      </w:r>
      <w:r w:rsidR="00284E4C" w:rsidRPr="00816405">
        <w:rPr>
          <w:rFonts w:ascii="Arial Narrow" w:hAnsi="Arial Narrow"/>
          <w:i/>
          <w:sz w:val="18"/>
          <w:szCs w:val="18"/>
        </w:rPr>
        <w:t>Las Fronteras de la Justicia. Op. Cit</w:t>
      </w:r>
      <w:r w:rsidR="00284E4C" w:rsidRPr="00816405">
        <w:rPr>
          <w:rFonts w:ascii="Arial Narrow" w:hAnsi="Arial Narrow"/>
          <w:sz w:val="18"/>
          <w:szCs w:val="18"/>
        </w:rPr>
        <w:t>., p. 125.</w:t>
      </w:r>
    </w:p>
  </w:footnote>
  <w:footnote w:id="17">
    <w:p w:rsidR="00224963" w:rsidRPr="00816405" w:rsidRDefault="00224963" w:rsidP="00816405">
      <w:pPr>
        <w:pStyle w:val="Textonotapie"/>
        <w:jc w:val="both"/>
        <w:rPr>
          <w:rFonts w:ascii="Arial Narrow" w:hAnsi="Arial Narrow"/>
          <w:sz w:val="18"/>
          <w:szCs w:val="18"/>
        </w:rPr>
      </w:pPr>
      <w:r w:rsidRPr="00816405">
        <w:rPr>
          <w:rStyle w:val="Refdenotaalpie"/>
          <w:rFonts w:ascii="Arial Narrow" w:hAnsi="Arial Narrow"/>
          <w:sz w:val="18"/>
          <w:szCs w:val="18"/>
        </w:rPr>
        <w:footnoteRef/>
      </w:r>
      <w:r w:rsidRPr="00816405">
        <w:rPr>
          <w:rFonts w:ascii="Arial Narrow" w:hAnsi="Arial Narrow"/>
          <w:sz w:val="18"/>
          <w:szCs w:val="18"/>
        </w:rPr>
        <w:t xml:space="preserve"> Rawls señala que “la capacidad de un sentido de la justicia es poseída por la abrumadora mayoría de la humanidad y, por consiguiente, esta cuestión no plantea un grave problema práctico”. Y es que Rawls no se plantea la discapacidad como una forma de vulnerabilidad estructural en tanto únicamente algunos “individuos dispersos no gozan de esta capacidad”. RAWLS, John. </w:t>
      </w:r>
      <w:r w:rsidRPr="00816405">
        <w:rPr>
          <w:rFonts w:ascii="Arial Narrow" w:hAnsi="Arial Narrow"/>
          <w:i/>
          <w:sz w:val="18"/>
          <w:szCs w:val="18"/>
        </w:rPr>
        <w:t>Teoría de la justicia.</w:t>
      </w:r>
      <w:r w:rsidRPr="00816405">
        <w:rPr>
          <w:rFonts w:ascii="Arial Narrow" w:hAnsi="Arial Narrow"/>
          <w:sz w:val="18"/>
          <w:szCs w:val="18"/>
        </w:rPr>
        <w:t xml:space="preserve"> México DF: Fondo de Cultura Económica, 2010, p. 457</w:t>
      </w:r>
    </w:p>
  </w:footnote>
  <w:footnote w:id="18">
    <w:p w:rsidR="00224963" w:rsidRPr="00816405" w:rsidRDefault="00224963" w:rsidP="00816405">
      <w:pPr>
        <w:pStyle w:val="Textonotapie"/>
        <w:jc w:val="both"/>
        <w:rPr>
          <w:rFonts w:ascii="Arial Narrow" w:hAnsi="Arial Narrow"/>
          <w:sz w:val="18"/>
          <w:szCs w:val="18"/>
        </w:rPr>
      </w:pPr>
      <w:r w:rsidRPr="00816405">
        <w:rPr>
          <w:rStyle w:val="Refdenotaalpie"/>
          <w:rFonts w:ascii="Arial Narrow" w:hAnsi="Arial Narrow"/>
          <w:sz w:val="18"/>
          <w:szCs w:val="18"/>
        </w:rPr>
        <w:footnoteRef/>
      </w:r>
      <w:r w:rsidRPr="00816405">
        <w:rPr>
          <w:rFonts w:ascii="Arial Narrow" w:hAnsi="Arial Narrow"/>
          <w:sz w:val="18"/>
          <w:szCs w:val="18"/>
        </w:rPr>
        <w:t xml:space="preserve"> RAWLS, John. </w:t>
      </w:r>
      <w:r w:rsidRPr="00816405">
        <w:rPr>
          <w:rFonts w:ascii="Arial Narrow" w:hAnsi="Arial Narrow"/>
          <w:i/>
          <w:sz w:val="18"/>
          <w:szCs w:val="18"/>
        </w:rPr>
        <w:t>Teoría de la justicia.</w:t>
      </w:r>
      <w:r w:rsidRPr="00816405">
        <w:rPr>
          <w:rFonts w:ascii="Arial Narrow" w:hAnsi="Arial Narrow"/>
          <w:sz w:val="18"/>
          <w:szCs w:val="18"/>
        </w:rPr>
        <w:t xml:space="preserve"> México DF: Fondo de Cultura Económica, 2010, p. 26</w:t>
      </w:r>
    </w:p>
  </w:footnote>
  <w:footnote w:id="19">
    <w:p w:rsidR="00224963" w:rsidRPr="00816405" w:rsidRDefault="00224963" w:rsidP="00816405">
      <w:pPr>
        <w:pStyle w:val="Textonotapie"/>
        <w:jc w:val="both"/>
        <w:rPr>
          <w:rFonts w:ascii="Arial Narrow" w:hAnsi="Arial Narrow"/>
          <w:sz w:val="18"/>
          <w:szCs w:val="18"/>
        </w:rPr>
      </w:pPr>
      <w:r w:rsidRPr="00816405">
        <w:rPr>
          <w:rStyle w:val="Refdenotaalpie"/>
          <w:rFonts w:ascii="Arial Narrow" w:hAnsi="Arial Narrow"/>
          <w:sz w:val="18"/>
          <w:szCs w:val="18"/>
        </w:rPr>
        <w:footnoteRef/>
      </w:r>
      <w:r w:rsidRPr="00816405">
        <w:rPr>
          <w:rFonts w:ascii="Arial Narrow" w:hAnsi="Arial Narrow"/>
          <w:sz w:val="18"/>
          <w:szCs w:val="18"/>
        </w:rPr>
        <w:t xml:space="preserve"> NUSSBAUM, Martha. </w:t>
      </w:r>
      <w:r w:rsidRPr="00816405">
        <w:rPr>
          <w:rFonts w:ascii="Arial Narrow" w:hAnsi="Arial Narrow"/>
          <w:i/>
          <w:sz w:val="18"/>
          <w:szCs w:val="18"/>
        </w:rPr>
        <w:t>Las Fronteras de la Justicia</w:t>
      </w:r>
      <w:r w:rsidR="00816405" w:rsidRPr="00816405">
        <w:rPr>
          <w:rFonts w:ascii="Arial Narrow" w:eastAsiaTheme="minorHAnsi" w:hAnsi="Arial Narrow"/>
          <w:i/>
          <w:sz w:val="18"/>
          <w:szCs w:val="18"/>
          <w:lang w:eastAsia="en-US"/>
        </w:rPr>
        <w:t xml:space="preserve"> </w:t>
      </w:r>
      <w:r w:rsidR="00816405" w:rsidRPr="00816405">
        <w:rPr>
          <w:rFonts w:ascii="Arial Narrow" w:hAnsi="Arial Narrow"/>
          <w:i/>
          <w:sz w:val="18"/>
          <w:szCs w:val="18"/>
        </w:rPr>
        <w:t>Óp. Cit.</w:t>
      </w:r>
      <w:r w:rsidRPr="00816405">
        <w:rPr>
          <w:rFonts w:ascii="Arial Narrow" w:hAnsi="Arial Narrow"/>
          <w:sz w:val="18"/>
          <w:szCs w:val="18"/>
        </w:rPr>
        <w:t xml:space="preserve">, p. 131 </w:t>
      </w:r>
    </w:p>
  </w:footnote>
  <w:footnote w:id="20">
    <w:p w:rsidR="00224963" w:rsidRPr="00816405" w:rsidRDefault="00224963" w:rsidP="00816405">
      <w:pPr>
        <w:pStyle w:val="Textonotapie"/>
        <w:jc w:val="both"/>
        <w:rPr>
          <w:rFonts w:ascii="Arial Narrow" w:hAnsi="Arial Narrow"/>
          <w:sz w:val="18"/>
          <w:szCs w:val="18"/>
        </w:rPr>
      </w:pPr>
      <w:r w:rsidRPr="00816405">
        <w:rPr>
          <w:rStyle w:val="Refdenotaalpie"/>
          <w:rFonts w:ascii="Arial Narrow" w:hAnsi="Arial Narrow"/>
          <w:sz w:val="18"/>
          <w:szCs w:val="18"/>
        </w:rPr>
        <w:footnoteRef/>
      </w:r>
      <w:r w:rsidRPr="00816405">
        <w:rPr>
          <w:rFonts w:ascii="Arial Narrow" w:hAnsi="Arial Narrow"/>
          <w:sz w:val="18"/>
          <w:szCs w:val="18"/>
        </w:rPr>
        <w:t xml:space="preserve"> </w:t>
      </w:r>
      <w:r w:rsidR="00816405" w:rsidRPr="00816405">
        <w:rPr>
          <w:rFonts w:ascii="Arial Narrow" w:hAnsi="Arial Narrow"/>
          <w:i/>
          <w:sz w:val="18"/>
          <w:szCs w:val="18"/>
        </w:rPr>
        <w:t>Ibíd.</w:t>
      </w:r>
      <w:r w:rsidRPr="00816405">
        <w:rPr>
          <w:rFonts w:ascii="Arial Narrow" w:hAnsi="Arial Narrow"/>
          <w:sz w:val="18"/>
          <w:szCs w:val="18"/>
        </w:rPr>
        <w:t>, p. 129</w:t>
      </w:r>
    </w:p>
  </w:footnote>
  <w:footnote w:id="21">
    <w:p w:rsidR="00224963" w:rsidRPr="00816405" w:rsidRDefault="00224963" w:rsidP="00816405">
      <w:pPr>
        <w:pStyle w:val="Textonotapie"/>
        <w:jc w:val="both"/>
        <w:rPr>
          <w:rFonts w:ascii="Arial Narrow" w:hAnsi="Arial Narrow"/>
          <w:sz w:val="18"/>
          <w:szCs w:val="18"/>
        </w:rPr>
      </w:pPr>
      <w:r w:rsidRPr="00816405">
        <w:rPr>
          <w:rStyle w:val="Refdenotaalpie"/>
          <w:rFonts w:ascii="Arial Narrow" w:hAnsi="Arial Narrow"/>
          <w:sz w:val="18"/>
          <w:szCs w:val="18"/>
        </w:rPr>
        <w:footnoteRef/>
      </w:r>
      <w:r w:rsidRPr="00816405">
        <w:rPr>
          <w:rFonts w:ascii="Arial Narrow" w:hAnsi="Arial Narrow"/>
          <w:sz w:val="18"/>
          <w:szCs w:val="18"/>
        </w:rPr>
        <w:t xml:space="preserve"> </w:t>
      </w:r>
      <w:r w:rsidR="00816405" w:rsidRPr="00816405">
        <w:rPr>
          <w:rFonts w:ascii="Arial Narrow" w:hAnsi="Arial Narrow"/>
          <w:i/>
          <w:sz w:val="18"/>
          <w:szCs w:val="18"/>
        </w:rPr>
        <w:t>Ibíd.</w:t>
      </w:r>
      <w:r w:rsidRPr="00816405">
        <w:rPr>
          <w:rFonts w:ascii="Arial Narrow" w:hAnsi="Arial Narrow"/>
          <w:sz w:val="18"/>
          <w:szCs w:val="18"/>
        </w:rPr>
        <w:t>, p.130</w:t>
      </w:r>
    </w:p>
  </w:footnote>
  <w:footnote w:id="22">
    <w:p w:rsidR="00224963" w:rsidRPr="00721173" w:rsidRDefault="00224963" w:rsidP="00816405">
      <w:pPr>
        <w:pStyle w:val="Textonotapie"/>
        <w:jc w:val="both"/>
        <w:rPr>
          <w:rFonts w:ascii="Arial Narrow" w:hAnsi="Arial Narrow"/>
          <w:sz w:val="18"/>
          <w:szCs w:val="18"/>
          <w:lang w:val="en-US"/>
        </w:rPr>
      </w:pPr>
      <w:r w:rsidRPr="00816405">
        <w:rPr>
          <w:rStyle w:val="Refdenotaalpie"/>
          <w:rFonts w:ascii="Arial Narrow" w:hAnsi="Arial Narrow"/>
          <w:sz w:val="18"/>
          <w:szCs w:val="18"/>
        </w:rPr>
        <w:footnoteRef/>
      </w:r>
      <w:r w:rsidRPr="00721173">
        <w:rPr>
          <w:rFonts w:ascii="Arial Narrow" w:hAnsi="Arial Narrow"/>
          <w:sz w:val="18"/>
          <w:szCs w:val="18"/>
          <w:lang w:val="en-US"/>
        </w:rPr>
        <w:t xml:space="preserve"> </w:t>
      </w:r>
      <w:r w:rsidR="00816405" w:rsidRPr="00721173">
        <w:rPr>
          <w:rFonts w:ascii="Arial Narrow" w:hAnsi="Arial Narrow"/>
          <w:i/>
          <w:sz w:val="18"/>
          <w:szCs w:val="18"/>
          <w:lang w:val="en-US"/>
        </w:rPr>
        <w:t xml:space="preserve">Ibíd., </w:t>
      </w:r>
      <w:r w:rsidR="00816405" w:rsidRPr="00721173">
        <w:rPr>
          <w:rFonts w:ascii="Arial Narrow" w:hAnsi="Arial Narrow"/>
          <w:sz w:val="18"/>
          <w:szCs w:val="18"/>
          <w:lang w:val="en-US"/>
        </w:rPr>
        <w:t xml:space="preserve">p. </w:t>
      </w:r>
      <w:r w:rsidRPr="00721173">
        <w:rPr>
          <w:rFonts w:ascii="Arial Narrow" w:hAnsi="Arial Narrow"/>
          <w:sz w:val="18"/>
          <w:szCs w:val="18"/>
          <w:lang w:val="en-US"/>
        </w:rPr>
        <w:t>174</w:t>
      </w:r>
    </w:p>
  </w:footnote>
  <w:footnote w:id="23">
    <w:p w:rsidR="00224963" w:rsidRPr="00816405" w:rsidRDefault="00224963" w:rsidP="00816405">
      <w:pPr>
        <w:pStyle w:val="Textonotapie"/>
        <w:jc w:val="both"/>
        <w:rPr>
          <w:rFonts w:ascii="Arial Narrow" w:hAnsi="Arial Narrow"/>
          <w:sz w:val="18"/>
          <w:szCs w:val="18"/>
          <w:lang w:val="en-US"/>
        </w:rPr>
      </w:pPr>
      <w:r w:rsidRPr="00816405">
        <w:rPr>
          <w:rStyle w:val="Refdenotaalpie"/>
          <w:rFonts w:ascii="Arial Narrow" w:hAnsi="Arial Narrow"/>
          <w:sz w:val="18"/>
          <w:szCs w:val="18"/>
        </w:rPr>
        <w:footnoteRef/>
      </w:r>
      <w:r w:rsidRPr="00721173">
        <w:rPr>
          <w:rFonts w:ascii="Arial Narrow" w:hAnsi="Arial Narrow"/>
          <w:sz w:val="18"/>
          <w:szCs w:val="18"/>
          <w:lang w:val="en-US"/>
        </w:rPr>
        <w:t xml:space="preserve"> </w:t>
      </w:r>
      <w:r w:rsidR="00816405" w:rsidRPr="00721173">
        <w:rPr>
          <w:rFonts w:ascii="Arial Narrow" w:hAnsi="Arial Narrow"/>
          <w:i/>
          <w:sz w:val="18"/>
          <w:szCs w:val="18"/>
          <w:lang w:val="en-US"/>
        </w:rPr>
        <w:t>Ibíd.</w:t>
      </w:r>
      <w:r w:rsidRPr="00816405">
        <w:rPr>
          <w:rFonts w:ascii="Arial Narrow" w:hAnsi="Arial Narrow"/>
          <w:sz w:val="18"/>
          <w:szCs w:val="18"/>
          <w:lang w:val="en-US"/>
        </w:rPr>
        <w:t>, p. 186</w:t>
      </w:r>
    </w:p>
  </w:footnote>
  <w:footnote w:id="24">
    <w:p w:rsidR="00224963" w:rsidRPr="00816405" w:rsidRDefault="00224963" w:rsidP="00816405">
      <w:pPr>
        <w:pStyle w:val="Textonotapie"/>
        <w:jc w:val="both"/>
        <w:rPr>
          <w:rFonts w:ascii="Arial Narrow" w:hAnsi="Arial Narrow"/>
          <w:sz w:val="18"/>
          <w:szCs w:val="18"/>
          <w:lang w:val="en-US"/>
        </w:rPr>
      </w:pPr>
      <w:r w:rsidRPr="00816405">
        <w:rPr>
          <w:rStyle w:val="Refdenotaalpie"/>
          <w:rFonts w:ascii="Arial Narrow" w:hAnsi="Arial Narrow"/>
          <w:sz w:val="18"/>
          <w:szCs w:val="18"/>
        </w:rPr>
        <w:footnoteRef/>
      </w:r>
      <w:r w:rsidRPr="00816405">
        <w:rPr>
          <w:rFonts w:ascii="Arial Narrow" w:hAnsi="Arial Narrow"/>
          <w:sz w:val="18"/>
          <w:szCs w:val="18"/>
          <w:lang w:val="en-US"/>
        </w:rPr>
        <w:t xml:space="preserve"> STEIN, Michael y Anita SILVERS, “Disability and the Social Contract” en  </w:t>
      </w:r>
      <w:r w:rsidRPr="00816405">
        <w:rPr>
          <w:rFonts w:ascii="Arial Narrow" w:hAnsi="Arial Narrow"/>
          <w:i/>
          <w:sz w:val="18"/>
          <w:szCs w:val="18"/>
          <w:lang w:val="en-US"/>
        </w:rPr>
        <w:t>The University of Chicago Law Review</w:t>
      </w:r>
      <w:r w:rsidRPr="00816405">
        <w:rPr>
          <w:rFonts w:ascii="Arial Narrow" w:hAnsi="Arial Narrow"/>
          <w:sz w:val="18"/>
          <w:szCs w:val="18"/>
          <w:lang w:val="en-US"/>
        </w:rPr>
        <w:t>, Vol. 74, 2007, p. 1626</w:t>
      </w:r>
    </w:p>
  </w:footnote>
  <w:footnote w:id="25">
    <w:p w:rsidR="00224963" w:rsidRPr="00816405" w:rsidRDefault="00224963" w:rsidP="00816405">
      <w:pPr>
        <w:pStyle w:val="Textonotapie"/>
        <w:jc w:val="both"/>
        <w:rPr>
          <w:rFonts w:ascii="Arial Narrow" w:hAnsi="Arial Narrow"/>
          <w:sz w:val="18"/>
          <w:szCs w:val="18"/>
        </w:rPr>
      </w:pPr>
      <w:r w:rsidRPr="00816405">
        <w:rPr>
          <w:rStyle w:val="Refdenotaalpie"/>
          <w:rFonts w:ascii="Arial Narrow" w:hAnsi="Arial Narrow"/>
          <w:sz w:val="18"/>
          <w:szCs w:val="18"/>
        </w:rPr>
        <w:footnoteRef/>
      </w:r>
      <w:r w:rsidRPr="00816405">
        <w:rPr>
          <w:rFonts w:ascii="Arial Narrow" w:hAnsi="Arial Narrow"/>
          <w:sz w:val="18"/>
          <w:szCs w:val="18"/>
        </w:rPr>
        <w:t xml:space="preserve"> Tal postura es abiertamente incoherente con el esfuerzo desplegado por Nussbaum para incluir a los animales como agentes morales.</w:t>
      </w:r>
    </w:p>
  </w:footnote>
  <w:footnote w:id="26">
    <w:p w:rsidR="00224963" w:rsidRPr="00816405" w:rsidRDefault="00224963" w:rsidP="00816405">
      <w:pPr>
        <w:pStyle w:val="Textonotapie"/>
        <w:jc w:val="both"/>
        <w:rPr>
          <w:rFonts w:ascii="Arial Narrow" w:hAnsi="Arial Narrow"/>
          <w:sz w:val="18"/>
          <w:szCs w:val="18"/>
          <w:lang w:val="en-US"/>
        </w:rPr>
      </w:pPr>
      <w:r w:rsidRPr="00816405">
        <w:rPr>
          <w:rStyle w:val="Refdenotaalpie"/>
          <w:rFonts w:ascii="Arial Narrow" w:hAnsi="Arial Narrow"/>
          <w:sz w:val="18"/>
          <w:szCs w:val="18"/>
        </w:rPr>
        <w:footnoteRef/>
      </w:r>
      <w:r w:rsidRPr="00816405">
        <w:rPr>
          <w:rFonts w:ascii="Arial Narrow" w:hAnsi="Arial Narrow"/>
          <w:sz w:val="18"/>
          <w:szCs w:val="18"/>
          <w:lang w:val="en-US"/>
        </w:rPr>
        <w:t xml:space="preserve"> Al respecto, </w:t>
      </w:r>
      <w:proofErr w:type="gramStart"/>
      <w:r w:rsidRPr="00816405">
        <w:rPr>
          <w:rFonts w:ascii="Arial Narrow" w:hAnsi="Arial Narrow"/>
          <w:sz w:val="18"/>
          <w:szCs w:val="18"/>
          <w:lang w:val="en-US"/>
        </w:rPr>
        <w:t>ver  NEIL</w:t>
      </w:r>
      <w:proofErr w:type="gramEnd"/>
      <w:r w:rsidRPr="00816405">
        <w:rPr>
          <w:rFonts w:ascii="Arial Narrow" w:hAnsi="Arial Narrow"/>
          <w:sz w:val="18"/>
          <w:szCs w:val="18"/>
          <w:lang w:val="en-US"/>
        </w:rPr>
        <w:t xml:space="preserve">, Michael, “Reasonably Confused: Human Rights and Intellectual Disability” (2011). </w:t>
      </w:r>
      <w:proofErr w:type="gramStart"/>
      <w:r w:rsidRPr="00816405">
        <w:rPr>
          <w:rFonts w:ascii="Arial Narrow" w:hAnsi="Arial Narrow"/>
          <w:i/>
          <w:sz w:val="18"/>
          <w:szCs w:val="18"/>
          <w:lang w:val="en-US"/>
        </w:rPr>
        <w:t>APSA 2011 Annual Meeting Paper</w:t>
      </w:r>
      <w:r w:rsidRPr="00816405">
        <w:rPr>
          <w:rFonts w:ascii="Arial Narrow" w:hAnsi="Arial Narrow"/>
          <w:sz w:val="18"/>
          <w:szCs w:val="18"/>
          <w:lang w:val="en-US"/>
        </w:rPr>
        <w:t>.</w:t>
      </w:r>
      <w:proofErr w:type="gramEnd"/>
    </w:p>
  </w:footnote>
  <w:footnote w:id="27">
    <w:p w:rsidR="00224963" w:rsidRPr="00816405" w:rsidRDefault="00224963" w:rsidP="00816405">
      <w:pPr>
        <w:pStyle w:val="Textonotapie"/>
        <w:jc w:val="both"/>
        <w:rPr>
          <w:rFonts w:ascii="Arial Narrow" w:hAnsi="Arial Narrow"/>
          <w:sz w:val="18"/>
          <w:szCs w:val="18"/>
          <w:lang w:val="en-US"/>
        </w:rPr>
      </w:pPr>
      <w:r w:rsidRPr="00816405">
        <w:rPr>
          <w:rStyle w:val="Refdenotaalpie"/>
          <w:rFonts w:ascii="Arial Narrow" w:hAnsi="Arial Narrow"/>
          <w:sz w:val="18"/>
          <w:szCs w:val="18"/>
        </w:rPr>
        <w:footnoteRef/>
      </w:r>
      <w:r w:rsidRPr="00816405">
        <w:rPr>
          <w:rFonts w:ascii="Arial Narrow" w:hAnsi="Arial Narrow"/>
          <w:sz w:val="18"/>
          <w:szCs w:val="18"/>
          <w:lang w:val="en-US"/>
        </w:rPr>
        <w:t xml:space="preserve"> CORRADO, Michael Louis, “Disability and Nationality: Martha Nussbaum on Justice.” </w:t>
      </w:r>
      <w:r w:rsidRPr="00816405">
        <w:rPr>
          <w:rFonts w:ascii="Arial Narrow" w:hAnsi="Arial Narrow"/>
          <w:i/>
          <w:sz w:val="18"/>
          <w:szCs w:val="18"/>
          <w:lang w:val="en-US"/>
        </w:rPr>
        <w:t>Essays in Philosophy</w:t>
      </w:r>
      <w:r w:rsidRPr="00816405">
        <w:rPr>
          <w:rFonts w:ascii="Arial Narrow" w:hAnsi="Arial Narrow"/>
          <w:sz w:val="18"/>
          <w:szCs w:val="18"/>
          <w:lang w:val="en-US"/>
        </w:rPr>
        <w:t xml:space="preserve">, Vol. 9, No. 1, 2008; UNC Legal Studies Research Paper No. 1117633, pp. 15 – 16. </w:t>
      </w:r>
    </w:p>
  </w:footnote>
  <w:footnote w:id="28">
    <w:p w:rsidR="00224963" w:rsidRPr="00816405" w:rsidRDefault="00224963" w:rsidP="00816405">
      <w:pPr>
        <w:pStyle w:val="Textonotapie"/>
        <w:jc w:val="both"/>
        <w:rPr>
          <w:rFonts w:ascii="Arial Narrow" w:hAnsi="Arial Narrow"/>
          <w:sz w:val="18"/>
          <w:szCs w:val="18"/>
          <w:lang w:val="en-US"/>
        </w:rPr>
      </w:pPr>
      <w:r w:rsidRPr="00816405">
        <w:rPr>
          <w:rStyle w:val="Refdenotaalpie"/>
          <w:rFonts w:ascii="Arial Narrow" w:hAnsi="Arial Narrow"/>
          <w:sz w:val="18"/>
          <w:szCs w:val="18"/>
        </w:rPr>
        <w:footnoteRef/>
      </w:r>
      <w:r w:rsidRPr="00816405">
        <w:rPr>
          <w:rFonts w:ascii="Arial Narrow" w:hAnsi="Arial Narrow"/>
          <w:sz w:val="18"/>
          <w:szCs w:val="18"/>
          <w:lang w:val="en-US"/>
        </w:rPr>
        <w:t xml:space="preserve"> </w:t>
      </w:r>
      <w:proofErr w:type="gramStart"/>
      <w:r w:rsidR="00816405" w:rsidRPr="00816405">
        <w:rPr>
          <w:rFonts w:ascii="Arial Narrow" w:hAnsi="Arial Narrow"/>
          <w:i/>
          <w:sz w:val="18"/>
          <w:szCs w:val="18"/>
          <w:lang w:val="en-US"/>
        </w:rPr>
        <w:t>Ibid.</w:t>
      </w:r>
      <w:r w:rsidRPr="00816405">
        <w:rPr>
          <w:rFonts w:ascii="Arial Narrow" w:hAnsi="Arial Narrow"/>
          <w:sz w:val="18"/>
          <w:szCs w:val="18"/>
          <w:lang w:val="en-US"/>
        </w:rPr>
        <w:t xml:space="preserve"> p. 16.</w:t>
      </w:r>
      <w:proofErr w:type="gramEnd"/>
      <w:r w:rsidRPr="00816405">
        <w:rPr>
          <w:rFonts w:ascii="Arial Narrow" w:hAnsi="Arial Narrow"/>
          <w:sz w:val="18"/>
          <w:szCs w:val="18"/>
          <w:lang w:val="en-US"/>
        </w:rPr>
        <w:t xml:space="preserve"> </w:t>
      </w:r>
      <w:proofErr w:type="gramStart"/>
      <w:r w:rsidRPr="00816405">
        <w:rPr>
          <w:rFonts w:ascii="Arial Narrow" w:hAnsi="Arial Narrow"/>
          <w:sz w:val="18"/>
          <w:szCs w:val="18"/>
          <w:lang w:val="en-US"/>
        </w:rPr>
        <w:t>Traducción libre de “something to achieve when reasonably possible.”</w:t>
      </w:r>
      <w:proofErr w:type="gramEnd"/>
    </w:p>
  </w:footnote>
  <w:footnote w:id="29">
    <w:p w:rsidR="00224963" w:rsidRPr="00816405" w:rsidRDefault="00224963" w:rsidP="00816405">
      <w:pPr>
        <w:pStyle w:val="Textonotapie"/>
        <w:jc w:val="both"/>
        <w:rPr>
          <w:rFonts w:ascii="Arial Narrow" w:hAnsi="Arial Narrow"/>
          <w:sz w:val="18"/>
          <w:szCs w:val="18"/>
        </w:rPr>
      </w:pPr>
      <w:r w:rsidRPr="00816405">
        <w:rPr>
          <w:rStyle w:val="Refdenotaalpie"/>
          <w:rFonts w:ascii="Arial Narrow" w:hAnsi="Arial Narrow"/>
          <w:sz w:val="18"/>
          <w:szCs w:val="18"/>
        </w:rPr>
        <w:footnoteRef/>
      </w:r>
      <w:r w:rsidRPr="00816405">
        <w:rPr>
          <w:rFonts w:ascii="Arial Narrow" w:hAnsi="Arial Narrow"/>
          <w:sz w:val="18"/>
          <w:szCs w:val="18"/>
          <w:lang w:val="en-US"/>
        </w:rPr>
        <w:t xml:space="preserve"> HARNACKE, Caroline. “Capability and Disability: The CRPD from the Perspective of the Capabilities Approach” en ANDERSON, Joel y Jos PHILIPS (eds.), </w:t>
      </w:r>
      <w:r w:rsidRPr="00816405">
        <w:rPr>
          <w:rFonts w:ascii="Arial Narrow" w:hAnsi="Arial Narrow"/>
          <w:i/>
          <w:sz w:val="18"/>
          <w:szCs w:val="18"/>
          <w:lang w:val="en-US"/>
        </w:rPr>
        <w:t>Disability and Universal Human Rights: Legal, Ethical and Conceptual Implications of the Convention on the Rights of Persons with Disabilities.</w:t>
      </w:r>
      <w:r w:rsidRPr="00816405">
        <w:rPr>
          <w:rFonts w:ascii="Arial Narrow" w:hAnsi="Arial Narrow"/>
          <w:sz w:val="18"/>
          <w:szCs w:val="18"/>
          <w:lang w:val="en-US"/>
        </w:rPr>
        <w:t xml:space="preserve"> </w:t>
      </w:r>
      <w:r w:rsidRPr="00816405">
        <w:rPr>
          <w:rFonts w:ascii="Arial Narrow" w:hAnsi="Arial Narrow"/>
          <w:sz w:val="18"/>
          <w:szCs w:val="18"/>
        </w:rPr>
        <w:t>Utrecht: Netherlands Institute of Human Rights, 2012, p.171 – 173.</w:t>
      </w:r>
    </w:p>
  </w:footnote>
  <w:footnote w:id="30">
    <w:p w:rsidR="00224963" w:rsidRPr="00816405" w:rsidRDefault="00224963" w:rsidP="00816405">
      <w:pPr>
        <w:pStyle w:val="Textonotapie"/>
        <w:jc w:val="both"/>
        <w:rPr>
          <w:rFonts w:ascii="Arial Narrow" w:hAnsi="Arial Narrow"/>
          <w:sz w:val="18"/>
          <w:szCs w:val="18"/>
        </w:rPr>
      </w:pPr>
      <w:r w:rsidRPr="00816405">
        <w:rPr>
          <w:rStyle w:val="Refdenotaalpie"/>
          <w:rFonts w:ascii="Arial Narrow" w:hAnsi="Arial Narrow"/>
          <w:sz w:val="18"/>
          <w:szCs w:val="18"/>
        </w:rPr>
        <w:footnoteRef/>
      </w:r>
      <w:r w:rsidRPr="00816405">
        <w:rPr>
          <w:rFonts w:ascii="Arial Narrow" w:hAnsi="Arial Narrow"/>
          <w:sz w:val="18"/>
          <w:szCs w:val="18"/>
        </w:rPr>
        <w:t xml:space="preserve"> NUSSBAUM, Martha. </w:t>
      </w:r>
      <w:r w:rsidRPr="00816405">
        <w:rPr>
          <w:rFonts w:ascii="Arial Narrow" w:hAnsi="Arial Narrow"/>
          <w:i/>
          <w:sz w:val="18"/>
          <w:szCs w:val="18"/>
        </w:rPr>
        <w:t>Las Fronteras de la Justicia</w:t>
      </w:r>
      <w:r w:rsidR="00816405" w:rsidRPr="00816405">
        <w:rPr>
          <w:rFonts w:ascii="Arial Narrow" w:hAnsi="Arial Narrow"/>
          <w:sz w:val="18"/>
          <w:szCs w:val="18"/>
        </w:rPr>
        <w:t xml:space="preserve">. </w:t>
      </w:r>
      <w:r w:rsidR="00816405" w:rsidRPr="00816405">
        <w:rPr>
          <w:rFonts w:ascii="Arial Narrow" w:hAnsi="Arial Narrow"/>
          <w:i/>
          <w:sz w:val="18"/>
          <w:szCs w:val="18"/>
        </w:rPr>
        <w:t>Óp. Cit.</w:t>
      </w:r>
      <w:r w:rsidRPr="00816405">
        <w:rPr>
          <w:rFonts w:ascii="Arial Narrow" w:hAnsi="Arial Narrow"/>
          <w:sz w:val="18"/>
          <w:szCs w:val="18"/>
        </w:rPr>
        <w:t>, 2007</w:t>
      </w:r>
      <w:r w:rsidR="00816405" w:rsidRPr="00816405">
        <w:rPr>
          <w:rFonts w:ascii="Arial Narrow" w:hAnsi="Arial Narrow"/>
          <w:sz w:val="18"/>
          <w:szCs w:val="18"/>
        </w:rPr>
        <w:t>, p.</w:t>
      </w:r>
      <w:r w:rsidRPr="00816405">
        <w:rPr>
          <w:rFonts w:ascii="Arial Narrow" w:hAnsi="Arial Narrow"/>
          <w:sz w:val="18"/>
          <w:szCs w:val="18"/>
        </w:rPr>
        <w:t xml:space="preserve"> 171</w:t>
      </w:r>
    </w:p>
  </w:footnote>
  <w:footnote w:id="31">
    <w:p w:rsidR="00284E4C" w:rsidRPr="00816405" w:rsidRDefault="00284E4C" w:rsidP="00816405">
      <w:pPr>
        <w:pStyle w:val="Textonotapie"/>
        <w:jc w:val="both"/>
        <w:rPr>
          <w:rFonts w:ascii="Arial Narrow" w:hAnsi="Arial Narrow"/>
          <w:sz w:val="18"/>
          <w:szCs w:val="18"/>
          <w:lang w:val="es-ES_tradnl"/>
        </w:rPr>
      </w:pPr>
      <w:r w:rsidRPr="00816405">
        <w:rPr>
          <w:rStyle w:val="Refdenotaalpie"/>
          <w:rFonts w:ascii="Arial Narrow" w:hAnsi="Arial Narrow"/>
          <w:sz w:val="18"/>
          <w:szCs w:val="18"/>
        </w:rPr>
        <w:footnoteRef/>
      </w:r>
      <w:r w:rsidRPr="00816405">
        <w:rPr>
          <w:rFonts w:ascii="Arial Narrow" w:hAnsi="Arial Narrow"/>
          <w:sz w:val="18"/>
          <w:szCs w:val="18"/>
        </w:rPr>
        <w:t xml:space="preserve"> </w:t>
      </w:r>
      <w:r w:rsidRPr="00816405">
        <w:rPr>
          <w:rFonts w:ascii="Arial Narrow" w:hAnsi="Arial Narrow"/>
          <w:sz w:val="18"/>
          <w:szCs w:val="18"/>
          <w:lang w:val="es-ES_tradnl"/>
        </w:rPr>
        <w:t xml:space="preserve">La Convención sobre los Derechos de las Personas con Discapacidad recoge en su artículo 3, dentro de sus principios rectores, </w:t>
      </w:r>
      <w:r w:rsidR="000D3908" w:rsidRPr="00816405">
        <w:rPr>
          <w:rFonts w:ascii="Arial Narrow" w:hAnsi="Arial Narrow"/>
          <w:sz w:val="18"/>
          <w:szCs w:val="18"/>
          <w:lang w:val="es-ES_tradnl"/>
        </w:rPr>
        <w:t>los principios</w:t>
      </w:r>
      <w:r w:rsidRPr="00816405">
        <w:rPr>
          <w:rFonts w:ascii="Arial Narrow" w:hAnsi="Arial Narrow"/>
          <w:sz w:val="18"/>
          <w:szCs w:val="18"/>
          <w:lang w:val="es-ES_tradnl"/>
        </w:rPr>
        <w:t xml:space="preserve"> de autonomía</w:t>
      </w:r>
      <w:r w:rsidR="000D3908" w:rsidRPr="00816405">
        <w:rPr>
          <w:rFonts w:ascii="Arial Narrow" w:hAnsi="Arial Narrow"/>
          <w:sz w:val="18"/>
          <w:szCs w:val="18"/>
          <w:lang w:val="es-ES_tradnl"/>
        </w:rPr>
        <w:t xml:space="preserve"> y el de </w:t>
      </w:r>
      <w:r w:rsidR="000D3908" w:rsidRPr="00816405">
        <w:rPr>
          <w:rFonts w:ascii="Arial Narrow" w:hAnsi="Arial Narrow"/>
          <w:sz w:val="18"/>
          <w:szCs w:val="18"/>
        </w:rPr>
        <w:t>respeto a la evolución de las facultades de los niños y las niñas con discapacidad y de su derecho a preservar su identidad.</w:t>
      </w:r>
    </w:p>
  </w:footnote>
  <w:footnote w:id="32">
    <w:p w:rsidR="00816405" w:rsidRPr="00816405" w:rsidRDefault="00816405" w:rsidP="00816405">
      <w:pPr>
        <w:pStyle w:val="Textonotapie"/>
        <w:jc w:val="both"/>
        <w:rPr>
          <w:rFonts w:ascii="Arial Narrow" w:hAnsi="Arial Narrow"/>
          <w:sz w:val="18"/>
          <w:szCs w:val="18"/>
          <w:lang w:val="es-ES_tradnl"/>
        </w:rPr>
      </w:pPr>
      <w:r w:rsidRPr="00816405">
        <w:rPr>
          <w:rStyle w:val="Refdenotaalpie"/>
          <w:rFonts w:ascii="Arial Narrow" w:hAnsi="Arial Narrow"/>
          <w:sz w:val="18"/>
          <w:szCs w:val="18"/>
        </w:rPr>
        <w:footnoteRef/>
      </w:r>
      <w:r w:rsidRPr="00816405">
        <w:rPr>
          <w:rFonts w:ascii="Arial Narrow" w:hAnsi="Arial Narrow"/>
          <w:sz w:val="18"/>
          <w:szCs w:val="18"/>
        </w:rPr>
        <w:t xml:space="preserve"> </w:t>
      </w:r>
      <w:r w:rsidRPr="00816405">
        <w:rPr>
          <w:rFonts w:ascii="Arial Narrow" w:hAnsi="Arial Narrow"/>
          <w:sz w:val="18"/>
          <w:szCs w:val="18"/>
          <w:lang w:val="es-ES_tradnl"/>
        </w:rPr>
        <w:t>La Convención sobre los Derechos de las Personas con Discapacidad establece en el artículo 24 las disposiciones al respecto.</w:t>
      </w:r>
    </w:p>
    <w:p w:rsidR="00816405" w:rsidRPr="00816405" w:rsidRDefault="00816405" w:rsidP="00816405">
      <w:pPr>
        <w:pStyle w:val="Textonotapie"/>
        <w:jc w:val="both"/>
        <w:rPr>
          <w:rFonts w:ascii="Arial Narrow" w:hAnsi="Arial Narrow"/>
          <w:b/>
          <w:bCs/>
          <w:sz w:val="18"/>
          <w:szCs w:val="18"/>
        </w:rPr>
      </w:pPr>
      <w:r w:rsidRPr="00816405">
        <w:rPr>
          <w:rFonts w:ascii="Arial Narrow" w:hAnsi="Arial Narrow"/>
          <w:b/>
          <w:bCs/>
          <w:sz w:val="18"/>
          <w:szCs w:val="18"/>
        </w:rPr>
        <w:t>Artículo 24. Educación</w:t>
      </w:r>
    </w:p>
    <w:p w:rsidR="00816405" w:rsidRPr="00816405" w:rsidRDefault="00816405" w:rsidP="00816405">
      <w:pPr>
        <w:pStyle w:val="Textonotapie"/>
        <w:jc w:val="both"/>
        <w:rPr>
          <w:rFonts w:ascii="Arial Narrow" w:hAnsi="Arial Narrow"/>
          <w:sz w:val="18"/>
          <w:szCs w:val="18"/>
        </w:rPr>
      </w:pPr>
      <w:r>
        <w:rPr>
          <w:rFonts w:ascii="Arial Narrow" w:hAnsi="Arial Narrow"/>
          <w:sz w:val="18"/>
          <w:szCs w:val="18"/>
        </w:rPr>
        <w:t xml:space="preserve">1. </w:t>
      </w:r>
      <w:r w:rsidRPr="00816405">
        <w:rPr>
          <w:rFonts w:ascii="Arial Narrow" w:hAnsi="Arial Narrow"/>
          <w:sz w:val="18"/>
          <w:szCs w:val="18"/>
        </w:rPr>
        <w:t>Los Estados Partes reconocen el derecho de las personas con discapacidad a la educación. Con miras a hacer efectivo este derecho sin discriminación y sobre la base de la igualdad de oportunidades, los Estados Partes asegurarán un sistema de educación inclusivo a todos los niveles así como la enseñanza a lo largo de la vida, con miras a:</w:t>
      </w:r>
    </w:p>
    <w:p w:rsidR="00816405" w:rsidRPr="00816405" w:rsidRDefault="00816405" w:rsidP="00816405">
      <w:pPr>
        <w:pStyle w:val="Textonotapie"/>
        <w:jc w:val="both"/>
        <w:rPr>
          <w:rFonts w:ascii="Arial Narrow" w:hAnsi="Arial Narrow"/>
          <w:sz w:val="18"/>
          <w:szCs w:val="18"/>
        </w:rPr>
      </w:pPr>
      <w:r w:rsidRPr="00816405">
        <w:rPr>
          <w:rFonts w:ascii="Arial Narrow" w:hAnsi="Arial Narrow"/>
          <w:sz w:val="18"/>
          <w:szCs w:val="18"/>
        </w:rPr>
        <w:t>a) Desarrollar plenamente el potencial humano y el sentido de la dignidad y la autoestima y reforzar el respeto por los derechos humanos, las libertades fundamentales y la diversidad humana;</w:t>
      </w:r>
    </w:p>
    <w:p w:rsidR="00816405" w:rsidRPr="00816405" w:rsidRDefault="00816405" w:rsidP="00816405">
      <w:pPr>
        <w:pStyle w:val="Textonotapie"/>
        <w:jc w:val="both"/>
        <w:rPr>
          <w:rFonts w:ascii="Arial Narrow" w:hAnsi="Arial Narrow"/>
          <w:sz w:val="18"/>
          <w:szCs w:val="18"/>
        </w:rPr>
      </w:pPr>
      <w:r w:rsidRPr="00816405">
        <w:rPr>
          <w:rFonts w:ascii="Arial Narrow" w:hAnsi="Arial Narrow"/>
          <w:sz w:val="18"/>
          <w:szCs w:val="18"/>
        </w:rPr>
        <w:t>b) Desarrollar al máximo la personalidad, los talentos y la creatividad de las personas con discapacidad, así como sus aptitudes mentales y físicas;</w:t>
      </w:r>
    </w:p>
    <w:p w:rsidR="00816405" w:rsidRPr="00816405" w:rsidRDefault="00816405" w:rsidP="00816405">
      <w:pPr>
        <w:pStyle w:val="Textonotapie"/>
        <w:jc w:val="both"/>
        <w:rPr>
          <w:rFonts w:ascii="Arial Narrow" w:hAnsi="Arial Narrow"/>
          <w:sz w:val="18"/>
          <w:szCs w:val="18"/>
        </w:rPr>
      </w:pPr>
      <w:r w:rsidRPr="00816405">
        <w:rPr>
          <w:rFonts w:ascii="Arial Narrow" w:hAnsi="Arial Narrow"/>
          <w:sz w:val="18"/>
          <w:szCs w:val="18"/>
        </w:rPr>
        <w:t>c) Hacer posible que las personas con discapacidad participen de manera efectiva en una sociedad libre.</w:t>
      </w:r>
    </w:p>
    <w:p w:rsidR="00816405" w:rsidRPr="00816405" w:rsidRDefault="00816405" w:rsidP="00816405">
      <w:pPr>
        <w:pStyle w:val="Textonotapie"/>
        <w:jc w:val="both"/>
        <w:rPr>
          <w:rFonts w:ascii="Arial Narrow" w:hAnsi="Arial Narrow"/>
          <w:sz w:val="18"/>
          <w:szCs w:val="18"/>
        </w:rPr>
      </w:pPr>
      <w:r w:rsidRPr="00816405">
        <w:rPr>
          <w:rFonts w:ascii="Arial Narrow" w:hAnsi="Arial Narrow"/>
          <w:sz w:val="18"/>
          <w:szCs w:val="18"/>
        </w:rPr>
        <w:t>2. Al hacer efectivo este derecho, los Estados Partes asegurarán que:</w:t>
      </w:r>
    </w:p>
    <w:p w:rsidR="00816405" w:rsidRPr="00816405" w:rsidRDefault="00816405" w:rsidP="00816405">
      <w:pPr>
        <w:pStyle w:val="Textonotapie"/>
        <w:jc w:val="both"/>
        <w:rPr>
          <w:rFonts w:ascii="Arial Narrow" w:hAnsi="Arial Narrow"/>
          <w:sz w:val="18"/>
          <w:szCs w:val="18"/>
        </w:rPr>
      </w:pPr>
      <w:r w:rsidRPr="00816405">
        <w:rPr>
          <w:rFonts w:ascii="Arial Narrow" w:hAnsi="Arial Narrow"/>
          <w:sz w:val="18"/>
          <w:szCs w:val="18"/>
        </w:rPr>
        <w:t>a) 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w:t>
      </w:r>
    </w:p>
    <w:p w:rsidR="00816405" w:rsidRPr="00816405" w:rsidRDefault="00816405" w:rsidP="00816405">
      <w:pPr>
        <w:pStyle w:val="Textonotapie"/>
        <w:jc w:val="both"/>
        <w:rPr>
          <w:rFonts w:ascii="Arial Narrow" w:hAnsi="Arial Narrow"/>
          <w:sz w:val="18"/>
          <w:szCs w:val="18"/>
        </w:rPr>
      </w:pPr>
      <w:r w:rsidRPr="00816405">
        <w:rPr>
          <w:rFonts w:ascii="Arial Narrow" w:hAnsi="Arial Narrow"/>
          <w:sz w:val="18"/>
          <w:szCs w:val="18"/>
        </w:rPr>
        <w:t>b) Las personas con discapacidad puedan acceder a una educación primaria y secundaria inclusiva, de calidad y gratuita, en igualdad de condiciones con las demás, en la comunidad en que vivan;</w:t>
      </w:r>
    </w:p>
    <w:p w:rsidR="00816405" w:rsidRPr="00816405" w:rsidRDefault="00816405" w:rsidP="00816405">
      <w:pPr>
        <w:pStyle w:val="Textonotapie"/>
        <w:jc w:val="both"/>
        <w:rPr>
          <w:rFonts w:ascii="Arial Narrow" w:hAnsi="Arial Narrow"/>
          <w:sz w:val="18"/>
          <w:szCs w:val="18"/>
        </w:rPr>
      </w:pPr>
      <w:r w:rsidRPr="00816405">
        <w:rPr>
          <w:rFonts w:ascii="Arial Narrow" w:hAnsi="Arial Narrow"/>
          <w:sz w:val="18"/>
          <w:szCs w:val="18"/>
        </w:rPr>
        <w:t>c) Se hagan ajustes razonables en función de las necesidades individuales;</w:t>
      </w:r>
    </w:p>
    <w:p w:rsidR="00816405" w:rsidRPr="00816405" w:rsidRDefault="00816405" w:rsidP="00816405">
      <w:pPr>
        <w:pStyle w:val="Textonotapie"/>
        <w:jc w:val="both"/>
        <w:rPr>
          <w:rFonts w:ascii="Arial Narrow" w:hAnsi="Arial Narrow"/>
          <w:sz w:val="18"/>
          <w:szCs w:val="18"/>
        </w:rPr>
      </w:pPr>
      <w:r w:rsidRPr="00816405">
        <w:rPr>
          <w:rFonts w:ascii="Arial Narrow" w:hAnsi="Arial Narrow"/>
          <w:sz w:val="18"/>
          <w:szCs w:val="18"/>
        </w:rPr>
        <w:t>d) Se preste el apoyo necesario a las personas con discapacidad, en el marco del sistema general de educación, para facilitar su formación efectiva;</w:t>
      </w:r>
    </w:p>
    <w:p w:rsidR="00816405" w:rsidRPr="00816405" w:rsidRDefault="00816405" w:rsidP="00816405">
      <w:pPr>
        <w:pStyle w:val="Textonotapie"/>
        <w:jc w:val="both"/>
        <w:rPr>
          <w:rFonts w:ascii="Arial Narrow" w:hAnsi="Arial Narrow"/>
          <w:sz w:val="18"/>
          <w:szCs w:val="18"/>
        </w:rPr>
      </w:pPr>
      <w:r w:rsidRPr="00816405">
        <w:rPr>
          <w:rFonts w:ascii="Arial Narrow" w:hAnsi="Arial Narrow"/>
          <w:sz w:val="18"/>
          <w:szCs w:val="18"/>
        </w:rPr>
        <w:t>e) Se faciliten medidas de apoyo personalizadas y efectivas en entornos que fomenten al máximo el desarrollo académico y social, de conformidad con el objetivo de la plena inclusión.</w:t>
      </w:r>
    </w:p>
    <w:p w:rsidR="00816405" w:rsidRPr="00816405" w:rsidRDefault="00816405" w:rsidP="00816405">
      <w:pPr>
        <w:pStyle w:val="Textonotapie"/>
        <w:jc w:val="both"/>
        <w:rPr>
          <w:rFonts w:ascii="Arial Narrow" w:hAnsi="Arial Narrow"/>
          <w:sz w:val="18"/>
          <w:szCs w:val="18"/>
        </w:rPr>
      </w:pPr>
      <w:r w:rsidRPr="00816405">
        <w:rPr>
          <w:rFonts w:ascii="Arial Narrow" w:hAnsi="Arial Narrow"/>
          <w:sz w:val="18"/>
          <w:szCs w:val="18"/>
        </w:rPr>
        <w:t>3. Los Estados Partes brindarán a las personas con discapacidad la posibilidad de aprender habilidades para la vida y desarrollo social, a fin de propiciar su participación plena y en igualdad de condiciones en la educación y como miembros de la comunidad. A este fin, los Estados Partes adoptarán las medidas pertinentes, entre ellas:</w:t>
      </w:r>
    </w:p>
    <w:p w:rsidR="00816405" w:rsidRPr="00816405" w:rsidRDefault="00816405" w:rsidP="00816405">
      <w:pPr>
        <w:pStyle w:val="Textonotapie"/>
        <w:jc w:val="both"/>
        <w:rPr>
          <w:rFonts w:ascii="Arial Narrow" w:hAnsi="Arial Narrow"/>
          <w:sz w:val="18"/>
          <w:szCs w:val="18"/>
        </w:rPr>
      </w:pPr>
      <w:r w:rsidRPr="00816405">
        <w:rPr>
          <w:rFonts w:ascii="Arial Narrow" w:hAnsi="Arial Narrow"/>
          <w:sz w:val="18"/>
          <w:szCs w:val="18"/>
        </w:rPr>
        <w:t>a) Facilitar el aprendizaje del Braille, la escritura alternativa, otros modos, medios y formatos de comunicación aumentativos o alternativos y habilidades de orientación y de movilidad, así como la tutoría y el apoyo entre pares;</w:t>
      </w:r>
    </w:p>
    <w:p w:rsidR="00816405" w:rsidRPr="00816405" w:rsidRDefault="00816405" w:rsidP="00816405">
      <w:pPr>
        <w:pStyle w:val="Textonotapie"/>
        <w:jc w:val="both"/>
        <w:rPr>
          <w:rFonts w:ascii="Arial Narrow" w:hAnsi="Arial Narrow"/>
          <w:sz w:val="18"/>
          <w:szCs w:val="18"/>
        </w:rPr>
      </w:pPr>
      <w:r w:rsidRPr="00816405">
        <w:rPr>
          <w:rFonts w:ascii="Arial Narrow" w:hAnsi="Arial Narrow"/>
          <w:sz w:val="18"/>
          <w:szCs w:val="18"/>
        </w:rPr>
        <w:t>b) Facilitar el aprendizaje de la lengua de señas y la promoción de la identidad lingüística de las personas sordas;</w:t>
      </w:r>
    </w:p>
    <w:p w:rsidR="00816405" w:rsidRPr="00816405" w:rsidRDefault="00816405" w:rsidP="00816405">
      <w:pPr>
        <w:pStyle w:val="Textonotapie"/>
        <w:jc w:val="both"/>
        <w:rPr>
          <w:rFonts w:ascii="Arial Narrow" w:hAnsi="Arial Narrow"/>
          <w:sz w:val="18"/>
          <w:szCs w:val="18"/>
        </w:rPr>
      </w:pPr>
      <w:r w:rsidRPr="00816405">
        <w:rPr>
          <w:rFonts w:ascii="Arial Narrow" w:hAnsi="Arial Narrow"/>
          <w:sz w:val="18"/>
          <w:szCs w:val="18"/>
        </w:rPr>
        <w:t xml:space="preserve">c) Asegurar que la educación de las personas, y en particular los niños y las niñas </w:t>
      </w:r>
      <w:proofErr w:type="gramStart"/>
      <w:r w:rsidRPr="00816405">
        <w:rPr>
          <w:rFonts w:ascii="Arial Narrow" w:hAnsi="Arial Narrow"/>
          <w:sz w:val="18"/>
          <w:szCs w:val="18"/>
        </w:rPr>
        <w:t>ciegos, sordos</w:t>
      </w:r>
      <w:proofErr w:type="gramEnd"/>
      <w:r w:rsidRPr="00816405">
        <w:rPr>
          <w:rFonts w:ascii="Arial Narrow" w:hAnsi="Arial Narrow"/>
          <w:sz w:val="18"/>
          <w:szCs w:val="18"/>
        </w:rPr>
        <w:t xml:space="preserve"> o </w:t>
      </w:r>
      <w:proofErr w:type="spellStart"/>
      <w:r w:rsidRPr="00816405">
        <w:rPr>
          <w:rFonts w:ascii="Arial Narrow" w:hAnsi="Arial Narrow"/>
          <w:sz w:val="18"/>
          <w:szCs w:val="18"/>
        </w:rPr>
        <w:t>sordociegos</w:t>
      </w:r>
      <w:proofErr w:type="spellEnd"/>
      <w:r w:rsidRPr="00816405">
        <w:rPr>
          <w:rFonts w:ascii="Arial Narrow" w:hAnsi="Arial Narrow"/>
          <w:sz w:val="18"/>
          <w:szCs w:val="18"/>
        </w:rPr>
        <w:t xml:space="preserve"> se imparta en los lenguajes y los modos y medios de comunicación más apropiados para cada persona y en entornos que permitan alcanzar su máximo desarrollo académico y social.</w:t>
      </w:r>
    </w:p>
    <w:p w:rsidR="00816405" w:rsidRPr="00816405" w:rsidRDefault="00816405" w:rsidP="00816405">
      <w:pPr>
        <w:pStyle w:val="Textonotapie"/>
        <w:jc w:val="both"/>
        <w:rPr>
          <w:rFonts w:ascii="Arial Narrow" w:hAnsi="Arial Narrow"/>
          <w:sz w:val="18"/>
          <w:szCs w:val="18"/>
        </w:rPr>
      </w:pPr>
      <w:r w:rsidRPr="00816405">
        <w:rPr>
          <w:rFonts w:ascii="Arial Narrow" w:hAnsi="Arial Narrow"/>
          <w:sz w:val="18"/>
          <w:szCs w:val="18"/>
        </w:rPr>
        <w:t>4. A fin de contribuir a hacer efectivo este derecho, los Estados Partes adoptarán las medidas pertinentes para emplear a maestros, incluidos maestros con discapacidad, que estén cualificados en lengua de señas o Braille y para formar a profesionales y personal que trabajen en todos los niveles educativos. Esa formación incluirá la toma de conciencia sobre la discapacidad y el uso de modos, medios y formatos de comunicación aumentativos y alternativos apropiados, y de técnicas y materiales educativos para apoyar a las personas con discapacidad.</w:t>
      </w:r>
    </w:p>
    <w:p w:rsidR="00816405" w:rsidRPr="00816405" w:rsidRDefault="00816405" w:rsidP="00816405">
      <w:pPr>
        <w:pStyle w:val="Textonotapie"/>
        <w:jc w:val="both"/>
        <w:rPr>
          <w:rFonts w:ascii="Arial Narrow" w:hAnsi="Arial Narrow"/>
          <w:sz w:val="18"/>
          <w:szCs w:val="18"/>
        </w:rPr>
      </w:pPr>
      <w:r w:rsidRPr="00816405">
        <w:rPr>
          <w:rFonts w:ascii="Arial Narrow" w:hAnsi="Arial Narrow"/>
          <w:sz w:val="18"/>
          <w:szCs w:val="18"/>
        </w:rPr>
        <w:t>5. Los Estados Partes asegurarán que las personas con discapacidad tengan acceso general a la educación superior, la formación profesional, la educación para adultos y el aprendizaje durante toda la vida sin discriminación y en igualdad de condiciones con las demás. A tal fin, los Estados Partes asegurarán que se realicen ajustes razonables para las personas con discapacidad.</w:t>
      </w:r>
    </w:p>
  </w:footnote>
  <w:footnote w:id="33">
    <w:p w:rsidR="00224963" w:rsidRPr="00816405" w:rsidRDefault="00224963" w:rsidP="00816405">
      <w:pPr>
        <w:pStyle w:val="Textonotapie"/>
        <w:jc w:val="both"/>
        <w:rPr>
          <w:rFonts w:ascii="Arial Narrow" w:hAnsi="Arial Narrow" w:cs="Arial"/>
          <w:sz w:val="18"/>
          <w:szCs w:val="18"/>
        </w:rPr>
      </w:pPr>
      <w:r w:rsidRPr="00816405">
        <w:rPr>
          <w:rStyle w:val="Refdenotaalpie"/>
          <w:rFonts w:ascii="Arial Narrow" w:hAnsi="Arial Narrow" w:cs="Arial"/>
          <w:sz w:val="18"/>
          <w:szCs w:val="18"/>
        </w:rPr>
        <w:footnoteRef/>
      </w:r>
      <w:r w:rsidRPr="00816405">
        <w:rPr>
          <w:rFonts w:ascii="Arial Narrow" w:hAnsi="Arial Narrow" w:cs="Arial"/>
          <w:sz w:val="18"/>
          <w:szCs w:val="18"/>
        </w:rPr>
        <w:t xml:space="preserve"> ALONSO PARREÑO, María José e Inés DE ARÁOZ SÁNCHEZ-DOPICO. </w:t>
      </w:r>
      <w:r w:rsidRPr="00816405">
        <w:rPr>
          <w:rFonts w:ascii="Arial Narrow" w:hAnsi="Arial Narrow" w:cs="Arial"/>
          <w:i/>
          <w:sz w:val="18"/>
          <w:szCs w:val="18"/>
        </w:rPr>
        <w:t>El impacto de la Convención internacional sobre los derechos de las personas con discapacidad en la legislación educativa española</w:t>
      </w:r>
      <w:r w:rsidRPr="00816405">
        <w:rPr>
          <w:rFonts w:ascii="Arial Narrow" w:hAnsi="Arial Narrow" w:cs="Arial"/>
          <w:sz w:val="18"/>
          <w:szCs w:val="18"/>
        </w:rPr>
        <w:t>. Ediciones Cinca: Madrid</w:t>
      </w:r>
      <w:r w:rsidRPr="00816405">
        <w:rPr>
          <w:rFonts w:ascii="Arial Narrow" w:hAnsi="Arial Narrow" w:cs="Arial"/>
          <w:i/>
          <w:sz w:val="18"/>
          <w:szCs w:val="18"/>
        </w:rPr>
        <w:t>,</w:t>
      </w:r>
      <w:r w:rsidRPr="00816405">
        <w:rPr>
          <w:rFonts w:ascii="Arial Narrow" w:hAnsi="Arial Narrow" w:cs="Arial"/>
          <w:sz w:val="18"/>
          <w:szCs w:val="18"/>
        </w:rPr>
        <w:t xml:space="preserve"> 2011, p. 23</w:t>
      </w:r>
    </w:p>
  </w:footnote>
  <w:footnote w:id="34">
    <w:p w:rsidR="00224963" w:rsidRPr="00721173" w:rsidRDefault="00224963" w:rsidP="00816405">
      <w:pPr>
        <w:pStyle w:val="Sinespaciado"/>
        <w:jc w:val="both"/>
        <w:rPr>
          <w:rFonts w:ascii="Arial Narrow" w:hAnsi="Arial Narrow" w:cs="Arial"/>
          <w:sz w:val="18"/>
          <w:szCs w:val="18"/>
        </w:rPr>
      </w:pPr>
      <w:r w:rsidRPr="00816405">
        <w:rPr>
          <w:rStyle w:val="Refdenotaalpie"/>
          <w:rFonts w:ascii="Arial Narrow" w:hAnsi="Arial Narrow" w:cs="Arial"/>
          <w:sz w:val="18"/>
          <w:szCs w:val="18"/>
        </w:rPr>
        <w:footnoteRef/>
      </w:r>
      <w:r w:rsidRPr="00816405">
        <w:rPr>
          <w:rFonts w:ascii="Arial Narrow" w:hAnsi="Arial Narrow" w:cs="Arial"/>
          <w:sz w:val="18"/>
          <w:szCs w:val="18"/>
        </w:rPr>
        <w:t xml:space="preserve"> CORTE SUPREMA DE LOS ESTADOS UNIDOS DE AMÉRICA. </w:t>
      </w:r>
      <w:proofErr w:type="gramStart"/>
      <w:r w:rsidRPr="00816405">
        <w:rPr>
          <w:rFonts w:ascii="Arial Narrow" w:hAnsi="Arial Narrow" w:cs="Arial"/>
          <w:i/>
          <w:sz w:val="18"/>
          <w:szCs w:val="18"/>
          <w:lang w:val="en-US"/>
        </w:rPr>
        <w:t>Brown v. Board of Education of Topeka</w:t>
      </w:r>
      <w:r w:rsidRPr="00816405">
        <w:rPr>
          <w:rFonts w:ascii="Arial Narrow" w:hAnsi="Arial Narrow" w:cs="Arial"/>
          <w:sz w:val="18"/>
          <w:szCs w:val="18"/>
          <w:lang w:val="en-US"/>
        </w:rPr>
        <w:t>, 347 U.S. 483 (1954).</w:t>
      </w:r>
      <w:proofErr w:type="gramEnd"/>
      <w:r w:rsidRPr="00816405">
        <w:rPr>
          <w:rFonts w:ascii="Arial Narrow" w:hAnsi="Arial Narrow" w:cs="Arial"/>
          <w:sz w:val="18"/>
          <w:szCs w:val="18"/>
          <w:lang w:val="en-US"/>
        </w:rPr>
        <w:t xml:space="preserve"> </w:t>
      </w:r>
      <w:r w:rsidRPr="00721173">
        <w:rPr>
          <w:rFonts w:ascii="Arial Narrow" w:hAnsi="Arial Narrow" w:cs="Arial"/>
          <w:sz w:val="18"/>
          <w:szCs w:val="18"/>
        </w:rPr>
        <w:t>Traducción propia. “Separate educational facilities are inherently unequal”</w:t>
      </w:r>
    </w:p>
  </w:footnote>
  <w:footnote w:id="35">
    <w:p w:rsidR="00626924" w:rsidRPr="00816405" w:rsidRDefault="00626924" w:rsidP="00816405">
      <w:pPr>
        <w:pStyle w:val="Textonotapie"/>
        <w:jc w:val="both"/>
        <w:rPr>
          <w:rFonts w:ascii="Arial Narrow" w:hAnsi="Arial Narrow"/>
          <w:sz w:val="18"/>
          <w:szCs w:val="18"/>
          <w:lang w:val="es-ES_tradnl"/>
        </w:rPr>
      </w:pPr>
      <w:r w:rsidRPr="00816405">
        <w:rPr>
          <w:rStyle w:val="Refdenotaalpie"/>
          <w:rFonts w:ascii="Arial Narrow" w:hAnsi="Arial Narrow"/>
          <w:sz w:val="18"/>
          <w:szCs w:val="18"/>
        </w:rPr>
        <w:footnoteRef/>
      </w:r>
      <w:r w:rsidRPr="00816405">
        <w:rPr>
          <w:rFonts w:ascii="Arial Narrow" w:hAnsi="Arial Narrow"/>
          <w:sz w:val="18"/>
          <w:szCs w:val="18"/>
        </w:rPr>
        <w:t xml:space="preserve"> </w:t>
      </w:r>
      <w:r w:rsidRPr="00816405">
        <w:rPr>
          <w:rFonts w:ascii="Arial Narrow" w:hAnsi="Arial Narrow"/>
          <w:sz w:val="18"/>
          <w:szCs w:val="18"/>
          <w:lang w:val="es-ES_tradnl"/>
        </w:rPr>
        <w:t xml:space="preserve">NUSSBAUM, Martha. Crear capacidades. </w:t>
      </w:r>
      <w:r w:rsidR="000D3908" w:rsidRPr="00816405">
        <w:rPr>
          <w:rFonts w:ascii="Arial Narrow" w:hAnsi="Arial Narrow"/>
          <w:sz w:val="18"/>
          <w:szCs w:val="18"/>
          <w:lang w:val="es-ES_tradnl"/>
        </w:rPr>
        <w:t>Óp.</w:t>
      </w:r>
      <w:r w:rsidRPr="00816405">
        <w:rPr>
          <w:rFonts w:ascii="Arial Narrow" w:hAnsi="Arial Narrow"/>
          <w:sz w:val="18"/>
          <w:szCs w:val="18"/>
          <w:lang w:val="es-ES_tradnl"/>
        </w:rPr>
        <w:t xml:space="preserve"> Cit., pp. 40-41. </w:t>
      </w:r>
    </w:p>
  </w:footnote>
  <w:footnote w:id="36">
    <w:p w:rsidR="00224963" w:rsidRPr="00816405" w:rsidRDefault="00224963" w:rsidP="00816405">
      <w:pPr>
        <w:pStyle w:val="Textonotapie"/>
        <w:jc w:val="both"/>
        <w:rPr>
          <w:rFonts w:ascii="Arial Narrow" w:hAnsi="Arial Narrow"/>
          <w:sz w:val="18"/>
          <w:szCs w:val="18"/>
        </w:rPr>
      </w:pPr>
      <w:r w:rsidRPr="00816405">
        <w:rPr>
          <w:rStyle w:val="Refdenotaalpie"/>
          <w:rFonts w:ascii="Arial Narrow" w:hAnsi="Arial Narrow"/>
          <w:sz w:val="18"/>
          <w:szCs w:val="18"/>
        </w:rPr>
        <w:footnoteRef/>
      </w:r>
      <w:r w:rsidRPr="00816405">
        <w:rPr>
          <w:rFonts w:ascii="Arial Narrow" w:hAnsi="Arial Narrow"/>
          <w:sz w:val="18"/>
          <w:szCs w:val="18"/>
        </w:rPr>
        <w:t xml:space="preserve"> ARRIETA, Teresa. “Educación, tolerancia e identidad”. En ALEGRÍA, Ciro &amp; otros (eds.).</w:t>
      </w:r>
      <w:r w:rsidRPr="00816405">
        <w:rPr>
          <w:rFonts w:ascii="Arial Narrow" w:hAnsi="Arial Narrow"/>
          <w:i/>
          <w:sz w:val="18"/>
          <w:szCs w:val="18"/>
        </w:rPr>
        <w:t>Tolerancia</w:t>
      </w:r>
      <w:r w:rsidR="000D3908" w:rsidRPr="00816405">
        <w:rPr>
          <w:rFonts w:ascii="Arial Narrow" w:hAnsi="Arial Narrow"/>
          <w:i/>
          <w:sz w:val="18"/>
          <w:szCs w:val="18"/>
        </w:rPr>
        <w:t>: ética</w:t>
      </w:r>
      <w:r w:rsidRPr="00816405">
        <w:rPr>
          <w:rFonts w:ascii="Arial Narrow" w:hAnsi="Arial Narrow"/>
          <w:i/>
          <w:sz w:val="18"/>
          <w:szCs w:val="18"/>
        </w:rPr>
        <w:t xml:space="preserve"> y política</w:t>
      </w:r>
      <w:r w:rsidRPr="00816405">
        <w:rPr>
          <w:rFonts w:ascii="Arial Narrow" w:hAnsi="Arial Narrow"/>
          <w:sz w:val="18"/>
          <w:szCs w:val="18"/>
        </w:rPr>
        <w:t>. Lima: Fondo Editorial de la Pontificia Universidad Católica del Perú, 2011, p. 265.</w:t>
      </w:r>
    </w:p>
  </w:footnote>
  <w:footnote w:id="37">
    <w:p w:rsidR="00224963" w:rsidRPr="00816405" w:rsidRDefault="00224963" w:rsidP="00816405">
      <w:pPr>
        <w:pStyle w:val="Textonotapie"/>
        <w:jc w:val="both"/>
        <w:rPr>
          <w:rFonts w:ascii="Arial Narrow" w:hAnsi="Arial Narrow"/>
          <w:sz w:val="18"/>
          <w:szCs w:val="18"/>
        </w:rPr>
      </w:pPr>
      <w:r w:rsidRPr="00816405">
        <w:rPr>
          <w:rStyle w:val="Refdenotaalpie"/>
          <w:rFonts w:ascii="Arial Narrow" w:hAnsi="Arial Narrow"/>
          <w:sz w:val="18"/>
          <w:szCs w:val="18"/>
        </w:rPr>
        <w:footnoteRef/>
      </w:r>
      <w:r w:rsidRPr="00816405">
        <w:rPr>
          <w:rFonts w:ascii="Arial Narrow" w:hAnsi="Arial Narrow"/>
          <w:sz w:val="18"/>
          <w:szCs w:val="18"/>
        </w:rPr>
        <w:t xml:space="preserve"> FREIRE, Paulo. </w:t>
      </w:r>
      <w:r w:rsidRPr="00816405">
        <w:rPr>
          <w:rFonts w:ascii="Arial Narrow" w:hAnsi="Arial Narrow"/>
          <w:i/>
          <w:sz w:val="18"/>
          <w:szCs w:val="18"/>
        </w:rPr>
        <w:t>Educaçao como prática da liberdade</w:t>
      </w:r>
      <w:r w:rsidRPr="00816405">
        <w:rPr>
          <w:rFonts w:ascii="Arial Narrow" w:hAnsi="Arial Narrow"/>
          <w:sz w:val="18"/>
          <w:szCs w:val="18"/>
        </w:rPr>
        <w:t>. Sao Paulo: Paz e Terra, 2011, p. 117</w:t>
      </w:r>
    </w:p>
  </w:footnote>
  <w:footnote w:id="38">
    <w:p w:rsidR="00224963" w:rsidRPr="00816405" w:rsidRDefault="00224963" w:rsidP="00816405">
      <w:pPr>
        <w:pStyle w:val="Textonotapie"/>
        <w:jc w:val="both"/>
        <w:rPr>
          <w:rFonts w:ascii="Arial Narrow" w:hAnsi="Arial Narrow"/>
          <w:sz w:val="18"/>
          <w:szCs w:val="18"/>
        </w:rPr>
      </w:pPr>
      <w:r w:rsidRPr="00816405">
        <w:rPr>
          <w:rStyle w:val="Refdenotaalpie"/>
          <w:rFonts w:ascii="Arial Narrow" w:hAnsi="Arial Narrow"/>
          <w:sz w:val="18"/>
          <w:szCs w:val="18"/>
        </w:rPr>
        <w:footnoteRef/>
      </w:r>
      <w:r w:rsidRPr="00816405">
        <w:rPr>
          <w:rFonts w:ascii="Arial Narrow" w:hAnsi="Arial Narrow"/>
          <w:sz w:val="18"/>
          <w:szCs w:val="18"/>
        </w:rPr>
        <w:t xml:space="preserve"> TRIBUNAL CONSTITUCIONAL DEL PERÚ. </w:t>
      </w:r>
      <w:r w:rsidRPr="00816405">
        <w:rPr>
          <w:rFonts w:ascii="Arial Narrow" w:hAnsi="Arial Narrow"/>
          <w:i/>
          <w:sz w:val="18"/>
          <w:szCs w:val="18"/>
        </w:rPr>
        <w:t xml:space="preserve">Caso Larry Jimmy Ormeño Cabrera. </w:t>
      </w:r>
      <w:r w:rsidRPr="00816405">
        <w:rPr>
          <w:rFonts w:ascii="Arial Narrow" w:hAnsi="Arial Narrow"/>
          <w:sz w:val="18"/>
          <w:szCs w:val="18"/>
        </w:rPr>
        <w:t>Sentencia recaída en el expediente 4232-2004-AA/TC. 2005. Fundamento 13.</w:t>
      </w:r>
    </w:p>
  </w:footnote>
  <w:footnote w:id="39">
    <w:p w:rsidR="00224963" w:rsidRPr="00816405" w:rsidRDefault="00224963" w:rsidP="00816405">
      <w:pPr>
        <w:pStyle w:val="Textonotapie"/>
        <w:jc w:val="both"/>
        <w:rPr>
          <w:rFonts w:ascii="Arial Narrow" w:hAnsi="Arial Narrow"/>
          <w:sz w:val="18"/>
          <w:szCs w:val="18"/>
        </w:rPr>
      </w:pPr>
      <w:r w:rsidRPr="00816405">
        <w:rPr>
          <w:rStyle w:val="Refdenotaalpie"/>
          <w:rFonts w:ascii="Arial Narrow" w:hAnsi="Arial Narrow"/>
          <w:sz w:val="18"/>
          <w:szCs w:val="18"/>
        </w:rPr>
        <w:footnoteRef/>
      </w:r>
      <w:r w:rsidRPr="00721173">
        <w:rPr>
          <w:rFonts w:ascii="Arial Narrow" w:hAnsi="Arial Narrow"/>
          <w:sz w:val="18"/>
          <w:szCs w:val="18"/>
          <w:lang w:val="en-US"/>
        </w:rPr>
        <w:t xml:space="preserve"> TERZI, Lorella. </w:t>
      </w:r>
      <w:proofErr w:type="gramStart"/>
      <w:r w:rsidRPr="00816405">
        <w:rPr>
          <w:rFonts w:ascii="Arial Narrow" w:hAnsi="Arial Narrow"/>
          <w:sz w:val="18"/>
          <w:szCs w:val="18"/>
          <w:lang w:val="en-US"/>
        </w:rPr>
        <w:t>“A Capability Perspective on Impairment, Disability and Special Needs: Towards Social Justice in Education”.</w:t>
      </w:r>
      <w:proofErr w:type="gramEnd"/>
      <w:r w:rsidRPr="00816405">
        <w:rPr>
          <w:rFonts w:ascii="Arial Narrow" w:hAnsi="Arial Narrow"/>
          <w:sz w:val="18"/>
          <w:szCs w:val="18"/>
          <w:lang w:val="en-US"/>
        </w:rPr>
        <w:t xml:space="preserve"> Paper prepared for the 3rd Conference on the Capability Approach: From Sustainable Development to Sustainable Freedom - Pavia, Italy, 7-9 September 2003. </w:t>
      </w:r>
      <w:r w:rsidRPr="00816405">
        <w:rPr>
          <w:rFonts w:ascii="Arial Narrow" w:hAnsi="Arial Narrow"/>
          <w:sz w:val="18"/>
          <w:szCs w:val="18"/>
        </w:rPr>
        <w:t xml:space="preserve">Disponible en </w:t>
      </w:r>
      <w:hyperlink r:id="rId2" w:history="1">
        <w:r w:rsidRPr="00816405">
          <w:rPr>
            <w:rStyle w:val="Hipervnculo"/>
            <w:rFonts w:ascii="Arial Narrow" w:hAnsi="Arial Narrow"/>
            <w:sz w:val="18"/>
            <w:szCs w:val="18"/>
          </w:rPr>
          <w:t>http://www-3.unipv.it/deontica/sen/papers/Terzi.pdf</w:t>
        </w:r>
      </w:hyperlink>
      <w:r w:rsidRPr="00816405">
        <w:rPr>
          <w:rFonts w:ascii="Arial Narrow" w:hAnsi="Arial Narrow"/>
          <w:sz w:val="18"/>
          <w:szCs w:val="18"/>
        </w:rPr>
        <w:t xml:space="preserve"> p. 37</w:t>
      </w:r>
    </w:p>
  </w:footnote>
  <w:footnote w:id="40">
    <w:p w:rsidR="00224963" w:rsidRPr="00816405" w:rsidRDefault="00224963" w:rsidP="00816405">
      <w:pPr>
        <w:pStyle w:val="Textonotapie"/>
        <w:jc w:val="both"/>
        <w:rPr>
          <w:rFonts w:ascii="Arial Narrow" w:hAnsi="Arial Narrow"/>
          <w:sz w:val="18"/>
          <w:szCs w:val="18"/>
          <w:lang w:val="en-US"/>
        </w:rPr>
      </w:pPr>
      <w:r w:rsidRPr="00816405">
        <w:rPr>
          <w:rStyle w:val="Refdenotaalpie"/>
          <w:rFonts w:ascii="Arial Narrow" w:hAnsi="Arial Narrow"/>
          <w:sz w:val="18"/>
          <w:szCs w:val="18"/>
        </w:rPr>
        <w:footnoteRef/>
      </w:r>
      <w:r w:rsidRPr="00816405">
        <w:rPr>
          <w:rFonts w:ascii="Arial Narrow" w:hAnsi="Arial Narrow"/>
          <w:sz w:val="18"/>
          <w:szCs w:val="18"/>
          <w:lang w:val="en-US"/>
        </w:rPr>
        <w:t xml:space="preserve"> STEIN, Michael y Anita SILVERS, “Disability and the Social Contract” en  </w:t>
      </w:r>
      <w:r w:rsidRPr="00816405">
        <w:rPr>
          <w:rFonts w:ascii="Arial Narrow" w:hAnsi="Arial Narrow"/>
          <w:i/>
          <w:sz w:val="18"/>
          <w:szCs w:val="18"/>
          <w:lang w:val="en-US"/>
        </w:rPr>
        <w:t>The University of Chicago Law Review</w:t>
      </w:r>
      <w:r w:rsidRPr="00816405">
        <w:rPr>
          <w:rFonts w:ascii="Arial Narrow" w:hAnsi="Arial Narrow"/>
          <w:sz w:val="18"/>
          <w:szCs w:val="18"/>
          <w:lang w:val="en-US"/>
        </w:rPr>
        <w:t>, Vol. 74, 2007,  1641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75"/>
    <w:rsid w:val="00021C15"/>
    <w:rsid w:val="00043292"/>
    <w:rsid w:val="000511AE"/>
    <w:rsid w:val="00081E94"/>
    <w:rsid w:val="00095411"/>
    <w:rsid w:val="000A13F5"/>
    <w:rsid w:val="000D3908"/>
    <w:rsid w:val="000E68FD"/>
    <w:rsid w:val="000F5B8A"/>
    <w:rsid w:val="00112354"/>
    <w:rsid w:val="00132E92"/>
    <w:rsid w:val="00142596"/>
    <w:rsid w:val="00170BCC"/>
    <w:rsid w:val="00171682"/>
    <w:rsid w:val="001949E7"/>
    <w:rsid w:val="001C0F56"/>
    <w:rsid w:val="001D5A3A"/>
    <w:rsid w:val="00213B7E"/>
    <w:rsid w:val="00224963"/>
    <w:rsid w:val="002275BA"/>
    <w:rsid w:val="00230075"/>
    <w:rsid w:val="00284E4C"/>
    <w:rsid w:val="00392601"/>
    <w:rsid w:val="003B6345"/>
    <w:rsid w:val="0051185D"/>
    <w:rsid w:val="00531EED"/>
    <w:rsid w:val="005533FC"/>
    <w:rsid w:val="005736B2"/>
    <w:rsid w:val="0057634F"/>
    <w:rsid w:val="005827F0"/>
    <w:rsid w:val="00584C0D"/>
    <w:rsid w:val="005B3B67"/>
    <w:rsid w:val="005E43BC"/>
    <w:rsid w:val="005F5772"/>
    <w:rsid w:val="00610C11"/>
    <w:rsid w:val="00626924"/>
    <w:rsid w:val="0064312E"/>
    <w:rsid w:val="00652A9D"/>
    <w:rsid w:val="006A6C5D"/>
    <w:rsid w:val="006B4174"/>
    <w:rsid w:val="006F5D4D"/>
    <w:rsid w:val="00715766"/>
    <w:rsid w:val="00716A59"/>
    <w:rsid w:val="00721173"/>
    <w:rsid w:val="007915AB"/>
    <w:rsid w:val="007B04A6"/>
    <w:rsid w:val="00816405"/>
    <w:rsid w:val="008331F4"/>
    <w:rsid w:val="00833A08"/>
    <w:rsid w:val="00894296"/>
    <w:rsid w:val="0089760A"/>
    <w:rsid w:val="008E2D91"/>
    <w:rsid w:val="008E661F"/>
    <w:rsid w:val="00904C1F"/>
    <w:rsid w:val="00923221"/>
    <w:rsid w:val="00950448"/>
    <w:rsid w:val="009A15B1"/>
    <w:rsid w:val="00AC4468"/>
    <w:rsid w:val="00AD1AA7"/>
    <w:rsid w:val="00B248BA"/>
    <w:rsid w:val="00B50935"/>
    <w:rsid w:val="00B84996"/>
    <w:rsid w:val="00B90462"/>
    <w:rsid w:val="00C11DA2"/>
    <w:rsid w:val="00C35276"/>
    <w:rsid w:val="00C425BD"/>
    <w:rsid w:val="00C864ED"/>
    <w:rsid w:val="00C91001"/>
    <w:rsid w:val="00CE1FCF"/>
    <w:rsid w:val="00CF6DAA"/>
    <w:rsid w:val="00D22675"/>
    <w:rsid w:val="00D31DE2"/>
    <w:rsid w:val="00D420C0"/>
    <w:rsid w:val="00D95D7E"/>
    <w:rsid w:val="00E02645"/>
    <w:rsid w:val="00E055FA"/>
    <w:rsid w:val="00E32E1D"/>
    <w:rsid w:val="00E53F77"/>
    <w:rsid w:val="00E543C1"/>
    <w:rsid w:val="00E72EFB"/>
    <w:rsid w:val="00ED04AA"/>
    <w:rsid w:val="00EE73D9"/>
    <w:rsid w:val="00F3125C"/>
    <w:rsid w:val="00FE6639"/>
    <w:rsid w:val="00FE7E8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75"/>
  </w:style>
  <w:style w:type="paragraph" w:styleId="Ttulo1">
    <w:name w:val="heading 1"/>
    <w:basedOn w:val="Normal"/>
    <w:next w:val="Normal"/>
    <w:link w:val="Heading1Char"/>
    <w:uiPriority w:val="9"/>
    <w:qFormat/>
    <w:rsid w:val="00C864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Heading5Char"/>
    <w:uiPriority w:val="9"/>
    <w:semiHidden/>
    <w:unhideWhenUsed/>
    <w:qFormat/>
    <w:rsid w:val="001425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HeaderChar"/>
    <w:uiPriority w:val="99"/>
    <w:semiHidden/>
    <w:unhideWhenUsed/>
    <w:rsid w:val="0051185D"/>
    <w:pPr>
      <w:tabs>
        <w:tab w:val="center" w:pos="4419"/>
        <w:tab w:val="right" w:pos="8838"/>
      </w:tabs>
      <w:spacing w:after="0" w:line="240" w:lineRule="auto"/>
    </w:pPr>
  </w:style>
  <w:style w:type="character" w:customStyle="1" w:styleId="HeaderChar">
    <w:name w:val="Header Char"/>
    <w:basedOn w:val="Fuentedeprrafopredeter"/>
    <w:link w:val="Encabezado"/>
    <w:uiPriority w:val="99"/>
    <w:semiHidden/>
    <w:rsid w:val="0051185D"/>
  </w:style>
  <w:style w:type="paragraph" w:styleId="Piedepgina">
    <w:name w:val="footer"/>
    <w:basedOn w:val="Normal"/>
    <w:link w:val="FooterChar"/>
    <w:uiPriority w:val="99"/>
    <w:unhideWhenUsed/>
    <w:rsid w:val="0051185D"/>
    <w:pPr>
      <w:tabs>
        <w:tab w:val="center" w:pos="4419"/>
        <w:tab w:val="right" w:pos="8838"/>
      </w:tabs>
      <w:spacing w:after="0" w:line="240" w:lineRule="auto"/>
    </w:pPr>
  </w:style>
  <w:style w:type="character" w:customStyle="1" w:styleId="FooterChar">
    <w:name w:val="Footer Char"/>
    <w:basedOn w:val="Fuentedeprrafopredeter"/>
    <w:link w:val="Piedepgina"/>
    <w:uiPriority w:val="99"/>
    <w:rsid w:val="0051185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FA Fu?notente,Ca,C"/>
    <w:basedOn w:val="Normal"/>
    <w:link w:val="FootnoteTextChar"/>
    <w:uiPriority w:val="99"/>
    <w:unhideWhenUsed/>
    <w:qFormat/>
    <w:rsid w:val="00531EED"/>
    <w:pPr>
      <w:spacing w:after="0" w:line="240" w:lineRule="auto"/>
    </w:pPr>
    <w:rPr>
      <w:rFonts w:eastAsiaTheme="minorEastAsia"/>
      <w:sz w:val="20"/>
      <w:szCs w:val="20"/>
      <w:lang w:eastAsia="es-P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Fuentedeprrafopredeter"/>
    <w:link w:val="Textonotapie"/>
    <w:uiPriority w:val="99"/>
    <w:rsid w:val="00531EED"/>
    <w:rPr>
      <w:rFonts w:eastAsiaTheme="minorEastAsia"/>
      <w:sz w:val="20"/>
      <w:szCs w:val="20"/>
      <w:lang w:eastAsia="es-PE"/>
    </w:rPr>
  </w:style>
  <w:style w:type="character" w:styleId="Refdenotaalpie">
    <w:name w:val="footnote reference"/>
    <w:aliases w:val="Texto de nota al pie,Appel note de bas de page,Footnotes refss,Footnote number,referencia nota al pie,BVI fnr,f,Ref. de nota al pie.,4_G,16 Point,Superscript 6 Point,Texto nota al pie,Footnote Reference Char3,Ref,de nota al pie"/>
    <w:basedOn w:val="Fuentedeprrafopredeter"/>
    <w:uiPriority w:val="99"/>
    <w:unhideWhenUsed/>
    <w:rsid w:val="00531EED"/>
    <w:rPr>
      <w:vertAlign w:val="superscript"/>
    </w:rPr>
  </w:style>
  <w:style w:type="character" w:styleId="Refdecomentario">
    <w:name w:val="annotation reference"/>
    <w:basedOn w:val="Fuentedeprrafopredeter"/>
    <w:uiPriority w:val="99"/>
    <w:semiHidden/>
    <w:unhideWhenUsed/>
    <w:rsid w:val="00E53F77"/>
    <w:rPr>
      <w:sz w:val="16"/>
      <w:szCs w:val="16"/>
    </w:rPr>
  </w:style>
  <w:style w:type="paragraph" w:styleId="Textocomentario">
    <w:name w:val="annotation text"/>
    <w:basedOn w:val="Normal"/>
    <w:link w:val="CommentTextChar"/>
    <w:uiPriority w:val="99"/>
    <w:semiHidden/>
    <w:unhideWhenUsed/>
    <w:rsid w:val="00E53F77"/>
    <w:pPr>
      <w:spacing w:line="240" w:lineRule="auto"/>
    </w:pPr>
    <w:rPr>
      <w:sz w:val="20"/>
      <w:szCs w:val="20"/>
    </w:rPr>
  </w:style>
  <w:style w:type="character" w:customStyle="1" w:styleId="CommentTextChar">
    <w:name w:val="Comment Text Char"/>
    <w:basedOn w:val="Fuentedeprrafopredeter"/>
    <w:link w:val="Textocomentario"/>
    <w:uiPriority w:val="99"/>
    <w:semiHidden/>
    <w:rsid w:val="00E53F77"/>
    <w:rPr>
      <w:sz w:val="20"/>
      <w:szCs w:val="20"/>
    </w:rPr>
  </w:style>
  <w:style w:type="paragraph" w:styleId="Asuntodelcomentario">
    <w:name w:val="annotation subject"/>
    <w:basedOn w:val="Textocomentario"/>
    <w:next w:val="Textocomentario"/>
    <w:link w:val="CommentSubjectChar"/>
    <w:uiPriority w:val="99"/>
    <w:semiHidden/>
    <w:unhideWhenUsed/>
    <w:rsid w:val="00E53F77"/>
    <w:rPr>
      <w:b/>
      <w:bCs/>
    </w:rPr>
  </w:style>
  <w:style w:type="character" w:customStyle="1" w:styleId="CommentSubjectChar">
    <w:name w:val="Comment Subject Char"/>
    <w:basedOn w:val="CommentTextChar"/>
    <w:link w:val="Asuntodelcomentario"/>
    <w:uiPriority w:val="99"/>
    <w:semiHidden/>
    <w:rsid w:val="00E53F77"/>
    <w:rPr>
      <w:b/>
      <w:bCs/>
      <w:sz w:val="20"/>
      <w:szCs w:val="20"/>
    </w:rPr>
  </w:style>
  <w:style w:type="paragraph" w:styleId="Textodeglobo">
    <w:name w:val="Balloon Text"/>
    <w:basedOn w:val="Normal"/>
    <w:link w:val="BalloonTextChar"/>
    <w:uiPriority w:val="99"/>
    <w:semiHidden/>
    <w:unhideWhenUsed/>
    <w:rsid w:val="00E53F77"/>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E53F77"/>
    <w:rPr>
      <w:rFonts w:ascii="Tahoma" w:hAnsi="Tahoma" w:cs="Tahoma"/>
      <w:sz w:val="16"/>
      <w:szCs w:val="16"/>
    </w:rPr>
  </w:style>
  <w:style w:type="paragraph" w:styleId="Sinespaciado">
    <w:name w:val="No Spacing"/>
    <w:uiPriority w:val="1"/>
    <w:qFormat/>
    <w:rsid w:val="00E53F77"/>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3B6345"/>
    <w:rPr>
      <w:color w:val="0000FF" w:themeColor="hyperlink"/>
      <w:u w:val="single"/>
    </w:rPr>
  </w:style>
  <w:style w:type="character" w:customStyle="1" w:styleId="Heading1Char">
    <w:name w:val="Heading 1 Char"/>
    <w:basedOn w:val="Fuentedeprrafopredeter"/>
    <w:link w:val="Ttulo1"/>
    <w:uiPriority w:val="9"/>
    <w:rsid w:val="00C864E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Fuentedeprrafopredeter"/>
    <w:link w:val="Ttulo5"/>
    <w:uiPriority w:val="9"/>
    <w:semiHidden/>
    <w:rsid w:val="0014259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75"/>
  </w:style>
  <w:style w:type="paragraph" w:styleId="Ttulo1">
    <w:name w:val="heading 1"/>
    <w:basedOn w:val="Normal"/>
    <w:next w:val="Normal"/>
    <w:link w:val="Heading1Char"/>
    <w:uiPriority w:val="9"/>
    <w:qFormat/>
    <w:rsid w:val="00C864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Heading5Char"/>
    <w:uiPriority w:val="9"/>
    <w:semiHidden/>
    <w:unhideWhenUsed/>
    <w:qFormat/>
    <w:rsid w:val="001425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HeaderChar"/>
    <w:uiPriority w:val="99"/>
    <w:semiHidden/>
    <w:unhideWhenUsed/>
    <w:rsid w:val="0051185D"/>
    <w:pPr>
      <w:tabs>
        <w:tab w:val="center" w:pos="4419"/>
        <w:tab w:val="right" w:pos="8838"/>
      </w:tabs>
      <w:spacing w:after="0" w:line="240" w:lineRule="auto"/>
    </w:pPr>
  </w:style>
  <w:style w:type="character" w:customStyle="1" w:styleId="HeaderChar">
    <w:name w:val="Header Char"/>
    <w:basedOn w:val="Fuentedeprrafopredeter"/>
    <w:link w:val="Encabezado"/>
    <w:uiPriority w:val="99"/>
    <w:semiHidden/>
    <w:rsid w:val="0051185D"/>
  </w:style>
  <w:style w:type="paragraph" w:styleId="Piedepgina">
    <w:name w:val="footer"/>
    <w:basedOn w:val="Normal"/>
    <w:link w:val="FooterChar"/>
    <w:uiPriority w:val="99"/>
    <w:unhideWhenUsed/>
    <w:rsid w:val="0051185D"/>
    <w:pPr>
      <w:tabs>
        <w:tab w:val="center" w:pos="4419"/>
        <w:tab w:val="right" w:pos="8838"/>
      </w:tabs>
      <w:spacing w:after="0" w:line="240" w:lineRule="auto"/>
    </w:pPr>
  </w:style>
  <w:style w:type="character" w:customStyle="1" w:styleId="FooterChar">
    <w:name w:val="Footer Char"/>
    <w:basedOn w:val="Fuentedeprrafopredeter"/>
    <w:link w:val="Piedepgina"/>
    <w:uiPriority w:val="99"/>
    <w:rsid w:val="0051185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FA Fu?notente,Ca,C"/>
    <w:basedOn w:val="Normal"/>
    <w:link w:val="FootnoteTextChar"/>
    <w:uiPriority w:val="99"/>
    <w:unhideWhenUsed/>
    <w:qFormat/>
    <w:rsid w:val="00531EED"/>
    <w:pPr>
      <w:spacing w:after="0" w:line="240" w:lineRule="auto"/>
    </w:pPr>
    <w:rPr>
      <w:rFonts w:eastAsiaTheme="minorEastAsia"/>
      <w:sz w:val="20"/>
      <w:szCs w:val="20"/>
      <w:lang w:eastAsia="es-P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Fuentedeprrafopredeter"/>
    <w:link w:val="Textonotapie"/>
    <w:uiPriority w:val="99"/>
    <w:rsid w:val="00531EED"/>
    <w:rPr>
      <w:rFonts w:eastAsiaTheme="minorEastAsia"/>
      <w:sz w:val="20"/>
      <w:szCs w:val="20"/>
      <w:lang w:eastAsia="es-PE"/>
    </w:rPr>
  </w:style>
  <w:style w:type="character" w:styleId="Refdenotaalpie">
    <w:name w:val="footnote reference"/>
    <w:aliases w:val="Texto de nota al pie,Appel note de bas de page,Footnotes refss,Footnote number,referencia nota al pie,BVI fnr,f,Ref. de nota al pie.,4_G,16 Point,Superscript 6 Point,Texto nota al pie,Footnote Reference Char3,Ref,de nota al pie"/>
    <w:basedOn w:val="Fuentedeprrafopredeter"/>
    <w:uiPriority w:val="99"/>
    <w:unhideWhenUsed/>
    <w:rsid w:val="00531EED"/>
    <w:rPr>
      <w:vertAlign w:val="superscript"/>
    </w:rPr>
  </w:style>
  <w:style w:type="character" w:styleId="Refdecomentario">
    <w:name w:val="annotation reference"/>
    <w:basedOn w:val="Fuentedeprrafopredeter"/>
    <w:uiPriority w:val="99"/>
    <w:semiHidden/>
    <w:unhideWhenUsed/>
    <w:rsid w:val="00E53F77"/>
    <w:rPr>
      <w:sz w:val="16"/>
      <w:szCs w:val="16"/>
    </w:rPr>
  </w:style>
  <w:style w:type="paragraph" w:styleId="Textocomentario">
    <w:name w:val="annotation text"/>
    <w:basedOn w:val="Normal"/>
    <w:link w:val="CommentTextChar"/>
    <w:uiPriority w:val="99"/>
    <w:semiHidden/>
    <w:unhideWhenUsed/>
    <w:rsid w:val="00E53F77"/>
    <w:pPr>
      <w:spacing w:line="240" w:lineRule="auto"/>
    </w:pPr>
    <w:rPr>
      <w:sz w:val="20"/>
      <w:szCs w:val="20"/>
    </w:rPr>
  </w:style>
  <w:style w:type="character" w:customStyle="1" w:styleId="CommentTextChar">
    <w:name w:val="Comment Text Char"/>
    <w:basedOn w:val="Fuentedeprrafopredeter"/>
    <w:link w:val="Textocomentario"/>
    <w:uiPriority w:val="99"/>
    <w:semiHidden/>
    <w:rsid w:val="00E53F77"/>
    <w:rPr>
      <w:sz w:val="20"/>
      <w:szCs w:val="20"/>
    </w:rPr>
  </w:style>
  <w:style w:type="paragraph" w:styleId="Asuntodelcomentario">
    <w:name w:val="annotation subject"/>
    <w:basedOn w:val="Textocomentario"/>
    <w:next w:val="Textocomentario"/>
    <w:link w:val="CommentSubjectChar"/>
    <w:uiPriority w:val="99"/>
    <w:semiHidden/>
    <w:unhideWhenUsed/>
    <w:rsid w:val="00E53F77"/>
    <w:rPr>
      <w:b/>
      <w:bCs/>
    </w:rPr>
  </w:style>
  <w:style w:type="character" w:customStyle="1" w:styleId="CommentSubjectChar">
    <w:name w:val="Comment Subject Char"/>
    <w:basedOn w:val="CommentTextChar"/>
    <w:link w:val="Asuntodelcomentario"/>
    <w:uiPriority w:val="99"/>
    <w:semiHidden/>
    <w:rsid w:val="00E53F77"/>
    <w:rPr>
      <w:b/>
      <w:bCs/>
      <w:sz w:val="20"/>
      <w:szCs w:val="20"/>
    </w:rPr>
  </w:style>
  <w:style w:type="paragraph" w:styleId="Textodeglobo">
    <w:name w:val="Balloon Text"/>
    <w:basedOn w:val="Normal"/>
    <w:link w:val="BalloonTextChar"/>
    <w:uiPriority w:val="99"/>
    <w:semiHidden/>
    <w:unhideWhenUsed/>
    <w:rsid w:val="00E53F77"/>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E53F77"/>
    <w:rPr>
      <w:rFonts w:ascii="Tahoma" w:hAnsi="Tahoma" w:cs="Tahoma"/>
      <w:sz w:val="16"/>
      <w:szCs w:val="16"/>
    </w:rPr>
  </w:style>
  <w:style w:type="paragraph" w:styleId="Sinespaciado">
    <w:name w:val="No Spacing"/>
    <w:uiPriority w:val="1"/>
    <w:qFormat/>
    <w:rsid w:val="00E53F77"/>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3B6345"/>
    <w:rPr>
      <w:color w:val="0000FF" w:themeColor="hyperlink"/>
      <w:u w:val="single"/>
    </w:rPr>
  </w:style>
  <w:style w:type="character" w:customStyle="1" w:styleId="Heading1Char">
    <w:name w:val="Heading 1 Char"/>
    <w:basedOn w:val="Fuentedeprrafopredeter"/>
    <w:link w:val="Ttulo1"/>
    <w:uiPriority w:val="9"/>
    <w:rsid w:val="00C864E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Fuentedeprrafopredeter"/>
    <w:link w:val="Ttulo5"/>
    <w:uiPriority w:val="9"/>
    <w:semiHidden/>
    <w:rsid w:val="0014259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08669">
      <w:bodyDiv w:val="1"/>
      <w:marLeft w:val="0"/>
      <w:marRight w:val="0"/>
      <w:marTop w:val="0"/>
      <w:marBottom w:val="0"/>
      <w:divBdr>
        <w:top w:val="none" w:sz="0" w:space="0" w:color="auto"/>
        <w:left w:val="none" w:sz="0" w:space="0" w:color="auto"/>
        <w:bottom w:val="none" w:sz="0" w:space="0" w:color="auto"/>
        <w:right w:val="none" w:sz="0" w:space="0" w:color="auto"/>
      </w:divBdr>
    </w:div>
    <w:div w:id="667053141">
      <w:bodyDiv w:val="1"/>
      <w:marLeft w:val="0"/>
      <w:marRight w:val="0"/>
      <w:marTop w:val="0"/>
      <w:marBottom w:val="0"/>
      <w:divBdr>
        <w:top w:val="none" w:sz="0" w:space="0" w:color="auto"/>
        <w:left w:val="none" w:sz="0" w:space="0" w:color="auto"/>
        <w:bottom w:val="none" w:sz="0" w:space="0" w:color="auto"/>
        <w:right w:val="none" w:sz="0" w:space="0" w:color="auto"/>
      </w:divBdr>
    </w:div>
    <w:div w:id="734545593">
      <w:bodyDiv w:val="1"/>
      <w:marLeft w:val="0"/>
      <w:marRight w:val="0"/>
      <w:marTop w:val="0"/>
      <w:marBottom w:val="0"/>
      <w:divBdr>
        <w:top w:val="none" w:sz="0" w:space="0" w:color="auto"/>
        <w:left w:val="none" w:sz="0" w:space="0" w:color="auto"/>
        <w:bottom w:val="none" w:sz="0" w:space="0" w:color="auto"/>
        <w:right w:val="none" w:sz="0" w:space="0" w:color="auto"/>
      </w:divBdr>
    </w:div>
    <w:div w:id="1105805208">
      <w:bodyDiv w:val="1"/>
      <w:marLeft w:val="0"/>
      <w:marRight w:val="0"/>
      <w:marTop w:val="0"/>
      <w:marBottom w:val="0"/>
      <w:divBdr>
        <w:top w:val="none" w:sz="0" w:space="0" w:color="auto"/>
        <w:left w:val="none" w:sz="0" w:space="0" w:color="auto"/>
        <w:bottom w:val="none" w:sz="0" w:space="0" w:color="auto"/>
        <w:right w:val="none" w:sz="0" w:space="0" w:color="auto"/>
      </w:divBdr>
    </w:div>
    <w:div w:id="1731735264">
      <w:bodyDiv w:val="1"/>
      <w:marLeft w:val="0"/>
      <w:marRight w:val="0"/>
      <w:marTop w:val="0"/>
      <w:marBottom w:val="0"/>
      <w:divBdr>
        <w:top w:val="none" w:sz="0" w:space="0" w:color="auto"/>
        <w:left w:val="none" w:sz="0" w:space="0" w:color="auto"/>
        <w:bottom w:val="none" w:sz="0" w:space="0" w:color="auto"/>
        <w:right w:val="none" w:sz="0" w:space="0" w:color="auto"/>
      </w:divBdr>
    </w:div>
    <w:div w:id="20163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unipv.it/deontica/sen/papers/Terzi.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3.unipv.it/deontica/sen/papers/Terzi.pdf" TargetMode="External"/><Relationship Id="rId1" Type="http://schemas.openxmlformats.org/officeDocument/2006/relationships/hyperlink" Target="http://idehpucp.pucp.edu.pe/wp-content/uploads/2013/07/resultadosinei.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4CC97-4B2A-4887-BD1D-BBD55057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3270</Words>
  <Characters>17985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Norma</cp:lastModifiedBy>
  <cp:revision>2</cp:revision>
  <dcterms:created xsi:type="dcterms:W3CDTF">2014-04-25T17:42:00Z</dcterms:created>
  <dcterms:modified xsi:type="dcterms:W3CDTF">2014-04-25T17:42:00Z</dcterms:modified>
</cp:coreProperties>
</file>