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D0" w:rsidRDefault="00B666D0" w:rsidP="00295F19">
      <w:pPr>
        <w:spacing w:after="0"/>
        <w:jc w:val="center"/>
        <w:rPr>
          <w:rFonts w:ascii="Tahoma" w:hAnsi="Tahoma" w:cs="Tahoma"/>
          <w:b/>
          <w:lang w:val="es-ES"/>
        </w:rPr>
      </w:pPr>
      <w:bookmarkStart w:id="0" w:name="_GoBack"/>
      <w:bookmarkEnd w:id="0"/>
      <w:r>
        <w:rPr>
          <w:rFonts w:ascii="Tahoma" w:hAnsi="Tahoma" w:cs="Tahoma"/>
          <w:b/>
          <w:lang w:val="es-ES"/>
        </w:rPr>
        <w:t>P R O G R A M A</w:t>
      </w:r>
    </w:p>
    <w:p w:rsidR="00855E69" w:rsidRPr="00963F48" w:rsidRDefault="00855E69" w:rsidP="00295F19">
      <w:pPr>
        <w:spacing w:after="0"/>
        <w:jc w:val="both"/>
        <w:rPr>
          <w:rFonts w:ascii="Tahoma" w:hAnsi="Tahoma" w:cs="Tahoma"/>
          <w:b/>
          <w:lang w:val="es-ES"/>
        </w:rPr>
      </w:pPr>
      <w:r w:rsidRPr="00963F48">
        <w:rPr>
          <w:rFonts w:ascii="Tahoma" w:hAnsi="Tahoma" w:cs="Tahoma"/>
          <w:b/>
          <w:lang w:val="es-ES"/>
        </w:rPr>
        <w:t>Día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2811"/>
        <w:gridCol w:w="2358"/>
        <w:gridCol w:w="2037"/>
      </w:tblGrid>
      <w:tr w:rsidR="00CD704C" w:rsidRPr="00A3094C" w:rsidTr="00C41C00">
        <w:tc>
          <w:tcPr>
            <w:tcW w:w="2370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8:3</w:t>
            </w:r>
            <w:r w:rsidRPr="00A3094C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7206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Registro</w:t>
            </w:r>
          </w:p>
        </w:tc>
      </w:tr>
      <w:tr w:rsidR="003B5783" w:rsidRPr="00F46AFE" w:rsidTr="003B5783">
        <w:tc>
          <w:tcPr>
            <w:tcW w:w="2370" w:type="dxa"/>
          </w:tcPr>
          <w:p w:rsidR="003B5783" w:rsidRPr="00A3094C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9:0</w:t>
            </w:r>
            <w:r w:rsidR="003B5783" w:rsidRPr="00A3094C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2811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Bienvenida al curso e introducción</w:t>
            </w:r>
          </w:p>
        </w:tc>
        <w:tc>
          <w:tcPr>
            <w:tcW w:w="2358" w:type="dxa"/>
          </w:tcPr>
          <w:p w:rsidR="003B5783" w:rsidRPr="00A3094C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Ivonne Garza</w:t>
            </w:r>
          </w:p>
        </w:tc>
        <w:tc>
          <w:tcPr>
            <w:tcW w:w="2037" w:type="dxa"/>
          </w:tcPr>
          <w:p w:rsidR="003B5783" w:rsidRPr="00A3094C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Red de las Américas sobre Nacionalidad y Apatridia</w:t>
            </w:r>
          </w:p>
        </w:tc>
      </w:tr>
      <w:tr w:rsidR="003B5783" w:rsidRPr="00F46AFE" w:rsidTr="003B5783">
        <w:tc>
          <w:tcPr>
            <w:tcW w:w="2370" w:type="dxa"/>
          </w:tcPr>
          <w:p w:rsidR="003B5783" w:rsidRPr="00A3094C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09:15</w:t>
            </w:r>
          </w:p>
        </w:tc>
        <w:tc>
          <w:tcPr>
            <w:tcW w:w="2811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Módulo</w:t>
            </w:r>
            <w:r w:rsidR="008C2F7F">
              <w:rPr>
                <w:rFonts w:ascii="Tahoma" w:hAnsi="Tahoma" w:cs="Tahoma"/>
                <w:lang w:val="es-ES"/>
              </w:rPr>
              <w:t xml:space="preserve"> I</w:t>
            </w:r>
            <w:r>
              <w:rPr>
                <w:rFonts w:ascii="Tahoma" w:hAnsi="Tahoma" w:cs="Tahoma"/>
                <w:lang w:val="es-ES"/>
              </w:rPr>
              <w:t>: Movilidad Humana y Apatridia</w:t>
            </w:r>
          </w:p>
        </w:tc>
        <w:tc>
          <w:tcPr>
            <w:tcW w:w="2358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Cécile Blouin </w:t>
            </w:r>
          </w:p>
        </w:tc>
        <w:tc>
          <w:tcPr>
            <w:tcW w:w="2037" w:type="dxa"/>
          </w:tcPr>
          <w:p w:rsidR="003B5783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Instituto de Democracia y Derechos Humanos de la Universidad Pontificia Católica del Perú</w:t>
            </w:r>
          </w:p>
        </w:tc>
      </w:tr>
      <w:tr w:rsidR="00CD704C" w:rsidRPr="00A3094C" w:rsidTr="007F777C">
        <w:tc>
          <w:tcPr>
            <w:tcW w:w="2370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</w:t>
            </w:r>
            <w:r w:rsidRPr="00A3094C">
              <w:rPr>
                <w:rFonts w:ascii="Tahoma" w:hAnsi="Tahoma" w:cs="Tahoma"/>
                <w:lang w:val="es-ES"/>
              </w:rPr>
              <w:t>:15</w:t>
            </w:r>
          </w:p>
        </w:tc>
        <w:tc>
          <w:tcPr>
            <w:tcW w:w="7206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Receso</w:t>
            </w:r>
          </w:p>
        </w:tc>
      </w:tr>
      <w:tr w:rsidR="003B5783" w:rsidRPr="00F46AFE" w:rsidTr="003B5783">
        <w:tc>
          <w:tcPr>
            <w:tcW w:w="2370" w:type="dxa"/>
          </w:tcPr>
          <w:p w:rsidR="003B5783" w:rsidRPr="00A3094C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</w:t>
            </w:r>
            <w:r w:rsidR="003B5783" w:rsidRPr="00A3094C">
              <w:rPr>
                <w:rFonts w:ascii="Tahoma" w:hAnsi="Tahoma" w:cs="Tahoma"/>
                <w:lang w:val="es-ES"/>
              </w:rPr>
              <w:t>:30</w:t>
            </w:r>
          </w:p>
        </w:tc>
        <w:tc>
          <w:tcPr>
            <w:tcW w:w="2811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Módulo</w:t>
            </w:r>
            <w:r w:rsidR="008C2F7F">
              <w:rPr>
                <w:rFonts w:ascii="Tahoma" w:hAnsi="Tahoma" w:cs="Tahoma"/>
                <w:lang w:val="es-ES"/>
              </w:rPr>
              <w:t xml:space="preserve"> II</w:t>
            </w:r>
            <w:r>
              <w:rPr>
                <w:rFonts w:ascii="Tahoma" w:hAnsi="Tahoma" w:cs="Tahoma"/>
                <w:lang w:val="es-ES"/>
              </w:rPr>
              <w:t>: Apatridia, Convención de 1954 y Convención de 1961</w:t>
            </w:r>
          </w:p>
        </w:tc>
        <w:tc>
          <w:tcPr>
            <w:tcW w:w="2358" w:type="dxa"/>
          </w:tcPr>
          <w:p w:rsidR="003B5783" w:rsidRPr="00A3094C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Ivonne Garza </w:t>
            </w:r>
          </w:p>
        </w:tc>
        <w:tc>
          <w:tcPr>
            <w:tcW w:w="2037" w:type="dxa"/>
          </w:tcPr>
          <w:p w:rsidR="003B5783" w:rsidRDefault="003A44B8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Red de las Américas sobre Nacionalidad y Apatridia</w:t>
            </w:r>
          </w:p>
        </w:tc>
      </w:tr>
      <w:tr w:rsidR="00554F24" w:rsidRPr="00F46AFE" w:rsidTr="00DD6699">
        <w:trPr>
          <w:trHeight w:val="1007"/>
        </w:trPr>
        <w:tc>
          <w:tcPr>
            <w:tcW w:w="2370" w:type="dxa"/>
          </w:tcPr>
          <w:p w:rsidR="00554F24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11:30</w:t>
            </w:r>
          </w:p>
        </w:tc>
        <w:tc>
          <w:tcPr>
            <w:tcW w:w="2811" w:type="dxa"/>
          </w:tcPr>
          <w:p w:rsidR="00554F24" w:rsidRDefault="00554F2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Módulo III: </w:t>
            </w:r>
            <w:r w:rsidR="00DD6699" w:rsidRPr="000F67D0">
              <w:rPr>
                <w:rFonts w:ascii="Tahoma" w:hAnsi="Tahoma" w:cs="Tahoma"/>
                <w:lang w:val="es-ES"/>
              </w:rPr>
              <w:t>Mecanismos de determinación de apatridia y Ley Modelo del ACNUR</w:t>
            </w:r>
            <w:r w:rsidR="00DD6699">
              <w:rPr>
                <w:rFonts w:ascii="Tahoma" w:hAnsi="Tahoma" w:cs="Tahoma"/>
                <w:lang w:val="es-ES"/>
              </w:rPr>
              <w:t xml:space="preserve"> </w:t>
            </w:r>
          </w:p>
        </w:tc>
        <w:tc>
          <w:tcPr>
            <w:tcW w:w="2358" w:type="dxa"/>
          </w:tcPr>
          <w:p w:rsidR="00554F24" w:rsidRDefault="00B33231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Juan Pablo Terminiello</w:t>
            </w:r>
          </w:p>
        </w:tc>
        <w:tc>
          <w:tcPr>
            <w:tcW w:w="2037" w:type="dxa"/>
          </w:tcPr>
          <w:p w:rsidR="00554F24" w:rsidRDefault="009744D1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Alto Comisionado de las Naciones Unidas para los Refugiados</w:t>
            </w:r>
            <w:r w:rsidR="00B33231">
              <w:rPr>
                <w:rFonts w:ascii="Tahoma" w:hAnsi="Tahoma" w:cs="Tahoma"/>
                <w:lang w:val="es-ES"/>
              </w:rPr>
              <w:t>, Oficina Regional Buenos Aires</w:t>
            </w:r>
          </w:p>
        </w:tc>
      </w:tr>
      <w:tr w:rsidR="00CD704C" w:rsidRPr="00A3094C" w:rsidTr="0035301B">
        <w:tc>
          <w:tcPr>
            <w:tcW w:w="2370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12:45</w:t>
            </w:r>
          </w:p>
        </w:tc>
        <w:tc>
          <w:tcPr>
            <w:tcW w:w="7206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Almuerzo</w:t>
            </w:r>
          </w:p>
        </w:tc>
      </w:tr>
      <w:tr w:rsidR="003B5783" w:rsidRPr="00F46AFE" w:rsidTr="003B5783">
        <w:tc>
          <w:tcPr>
            <w:tcW w:w="2370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14:00</w:t>
            </w:r>
          </w:p>
        </w:tc>
        <w:tc>
          <w:tcPr>
            <w:tcW w:w="2811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Módulo</w:t>
            </w:r>
            <w:r w:rsidR="004B623B">
              <w:rPr>
                <w:rFonts w:ascii="Tahoma" w:hAnsi="Tahoma" w:cs="Tahoma"/>
                <w:lang w:val="es-ES"/>
              </w:rPr>
              <w:t xml:space="preserve"> </w:t>
            </w:r>
            <w:r w:rsidR="008C2F7F">
              <w:rPr>
                <w:rFonts w:ascii="Tahoma" w:hAnsi="Tahoma" w:cs="Tahoma"/>
                <w:lang w:val="es-ES"/>
              </w:rPr>
              <w:t>I</w:t>
            </w:r>
            <w:r w:rsidR="004B623B">
              <w:rPr>
                <w:rFonts w:ascii="Tahoma" w:hAnsi="Tahoma" w:cs="Tahoma"/>
                <w:lang w:val="es-ES"/>
              </w:rPr>
              <w:t>V</w:t>
            </w:r>
            <w:r w:rsidRPr="00BD0C09">
              <w:rPr>
                <w:rFonts w:ascii="Tahoma" w:hAnsi="Tahoma" w:cs="Tahoma"/>
                <w:lang w:val="es-ES"/>
              </w:rPr>
              <w:t>: Avances hacia la erradicación de la apatridia en el Perú</w:t>
            </w:r>
          </w:p>
        </w:tc>
        <w:tc>
          <w:tcPr>
            <w:tcW w:w="2358" w:type="dxa"/>
          </w:tcPr>
          <w:p w:rsidR="003B5783" w:rsidRPr="00BD0C09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Romina Ximena Caminada Vallejo</w:t>
            </w:r>
          </w:p>
        </w:tc>
        <w:tc>
          <w:tcPr>
            <w:tcW w:w="2037" w:type="dxa"/>
          </w:tcPr>
          <w:p w:rsidR="003B5783" w:rsidRDefault="003A44B8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Ministerio de Relaciones Exteriores del Perú</w:t>
            </w:r>
          </w:p>
        </w:tc>
      </w:tr>
      <w:tr w:rsidR="00CD704C" w:rsidRPr="00A3094C" w:rsidTr="00C40917">
        <w:tc>
          <w:tcPr>
            <w:tcW w:w="2370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15:3</w:t>
            </w:r>
            <w:r w:rsidRPr="00A3094C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7206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Receso</w:t>
            </w:r>
          </w:p>
        </w:tc>
      </w:tr>
      <w:tr w:rsidR="00DD6699" w:rsidRPr="00F46AFE" w:rsidTr="003B5783">
        <w:tc>
          <w:tcPr>
            <w:tcW w:w="2370" w:type="dxa"/>
          </w:tcPr>
          <w:p w:rsidR="00DD6699" w:rsidRPr="00A3094C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15:4</w:t>
            </w:r>
            <w:r w:rsidRPr="00A3094C">
              <w:rPr>
                <w:rFonts w:ascii="Tahoma" w:hAnsi="Tahoma" w:cs="Tahoma"/>
                <w:lang w:val="es-ES"/>
              </w:rPr>
              <w:t>5</w:t>
            </w:r>
          </w:p>
        </w:tc>
        <w:tc>
          <w:tcPr>
            <w:tcW w:w="2811" w:type="dxa"/>
          </w:tcPr>
          <w:p w:rsidR="00DD6699" w:rsidRPr="00A3094C" w:rsidRDefault="004B623B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Módulo </w:t>
            </w:r>
            <w:r w:rsidR="00DD6699">
              <w:rPr>
                <w:rFonts w:ascii="Tahoma" w:hAnsi="Tahoma" w:cs="Tahoma"/>
                <w:lang w:val="es-ES"/>
              </w:rPr>
              <w:t>V</w:t>
            </w:r>
            <w:r w:rsidR="00DD6699" w:rsidRPr="000F67D0">
              <w:rPr>
                <w:rFonts w:ascii="Tahoma" w:hAnsi="Tahoma" w:cs="Tahoma"/>
                <w:lang w:val="es-ES"/>
              </w:rPr>
              <w:t xml:space="preserve">: </w:t>
            </w:r>
            <w:r w:rsidR="00DD6699">
              <w:rPr>
                <w:rFonts w:ascii="Tahoma" w:hAnsi="Tahoma" w:cs="Tahoma"/>
                <w:lang w:val="es-ES"/>
              </w:rPr>
              <w:t>Derecho a la nacionalidad y derecho a la identidad en el SIDH</w:t>
            </w:r>
          </w:p>
        </w:tc>
        <w:tc>
          <w:tcPr>
            <w:tcW w:w="2358" w:type="dxa"/>
          </w:tcPr>
          <w:p w:rsidR="00DD6699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Ivonne Garza</w:t>
            </w:r>
          </w:p>
        </w:tc>
        <w:tc>
          <w:tcPr>
            <w:tcW w:w="2037" w:type="dxa"/>
          </w:tcPr>
          <w:p w:rsidR="00DD6699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Red de las Américas sobre Nacionalidad y Apatridia</w:t>
            </w:r>
          </w:p>
        </w:tc>
      </w:tr>
      <w:tr w:rsidR="00DD6699" w:rsidRPr="00F46AFE" w:rsidTr="00F46AFE">
        <w:trPr>
          <w:trHeight w:val="668"/>
        </w:trPr>
        <w:tc>
          <w:tcPr>
            <w:tcW w:w="2370" w:type="dxa"/>
            <w:vMerge w:val="restart"/>
          </w:tcPr>
          <w:p w:rsidR="00DD6699" w:rsidRPr="004B623B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4B623B">
              <w:rPr>
                <w:rFonts w:ascii="Tahoma" w:hAnsi="Tahoma" w:cs="Tahoma"/>
                <w:lang w:val="es-ES"/>
              </w:rPr>
              <w:lastRenderedPageBreak/>
              <w:t>16:45</w:t>
            </w:r>
          </w:p>
        </w:tc>
        <w:tc>
          <w:tcPr>
            <w:tcW w:w="2811" w:type="dxa"/>
            <w:vMerge w:val="restart"/>
          </w:tcPr>
          <w:p w:rsidR="00DD6699" w:rsidRPr="004B623B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4B623B">
              <w:rPr>
                <w:rFonts w:ascii="Tahoma" w:hAnsi="Tahoma" w:cs="Tahoma"/>
                <w:lang w:val="es-ES"/>
              </w:rPr>
              <w:t>Módulo V</w:t>
            </w:r>
            <w:r w:rsidR="004B623B" w:rsidRPr="004B623B">
              <w:rPr>
                <w:rFonts w:ascii="Tahoma" w:hAnsi="Tahoma" w:cs="Tahoma"/>
                <w:lang w:val="es-ES"/>
              </w:rPr>
              <w:t>I</w:t>
            </w:r>
            <w:r w:rsidRPr="004B623B">
              <w:rPr>
                <w:rFonts w:ascii="Tahoma" w:hAnsi="Tahoma" w:cs="Tahoma"/>
                <w:lang w:val="es-ES"/>
              </w:rPr>
              <w:t>: La experiencia comparada</w:t>
            </w:r>
          </w:p>
        </w:tc>
        <w:tc>
          <w:tcPr>
            <w:tcW w:w="2358" w:type="dxa"/>
          </w:tcPr>
          <w:p w:rsidR="00DD6699" w:rsidRPr="006F1FA6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6F1FA6">
              <w:rPr>
                <w:rFonts w:ascii="Tahoma" w:hAnsi="Tahoma" w:cs="Tahoma"/>
                <w:lang w:val="es-ES"/>
              </w:rPr>
              <w:t>Waleska Abusada Lues</w:t>
            </w:r>
          </w:p>
          <w:p w:rsidR="00DD6699" w:rsidRPr="006F1FA6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037" w:type="dxa"/>
          </w:tcPr>
          <w:p w:rsidR="00DD6699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Ministerio del Interior y Seguridad Pública de Chile</w:t>
            </w:r>
          </w:p>
          <w:p w:rsidR="00DD6699" w:rsidRPr="00A3094C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DD6699" w:rsidRPr="00F46AFE" w:rsidTr="003B5783">
        <w:trPr>
          <w:trHeight w:val="667"/>
        </w:trPr>
        <w:tc>
          <w:tcPr>
            <w:tcW w:w="2370" w:type="dxa"/>
            <w:vMerge/>
          </w:tcPr>
          <w:p w:rsidR="00DD6699" w:rsidRPr="006F1FA6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811" w:type="dxa"/>
            <w:vMerge/>
          </w:tcPr>
          <w:p w:rsidR="00DD6699" w:rsidRPr="006F1FA6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358" w:type="dxa"/>
          </w:tcPr>
          <w:p w:rsidR="00DD6699" w:rsidRPr="006F1FA6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6F1FA6">
              <w:rPr>
                <w:rFonts w:ascii="Tahoma" w:hAnsi="Tahoma" w:cs="Tahoma"/>
                <w:lang w:val="es-ES"/>
              </w:rPr>
              <w:t>Eugenia Gutiérrez Ruiz</w:t>
            </w:r>
          </w:p>
        </w:tc>
        <w:tc>
          <w:tcPr>
            <w:tcW w:w="2037" w:type="dxa"/>
          </w:tcPr>
          <w:p w:rsidR="00DD6699" w:rsidRDefault="00DD6699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Ministerio de Relaciones Exteriores y Culto de Costa Rica</w:t>
            </w:r>
          </w:p>
        </w:tc>
      </w:tr>
      <w:tr w:rsidR="00CD704C" w:rsidRPr="00A3094C" w:rsidTr="00314E9D">
        <w:tc>
          <w:tcPr>
            <w:tcW w:w="2370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17</w:t>
            </w:r>
            <w:r w:rsidRPr="00A3094C">
              <w:rPr>
                <w:rFonts w:ascii="Tahoma" w:hAnsi="Tahoma" w:cs="Tahoma"/>
                <w:lang w:val="es-ES"/>
              </w:rPr>
              <w:t>:45</w:t>
            </w:r>
          </w:p>
        </w:tc>
        <w:tc>
          <w:tcPr>
            <w:tcW w:w="7206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Fin del día</w:t>
            </w:r>
          </w:p>
        </w:tc>
      </w:tr>
    </w:tbl>
    <w:p w:rsidR="00013812" w:rsidRPr="00A3094C" w:rsidRDefault="00013812" w:rsidP="00295F19">
      <w:pPr>
        <w:spacing w:after="0"/>
        <w:jc w:val="both"/>
        <w:rPr>
          <w:rFonts w:ascii="Tahoma" w:hAnsi="Tahoma" w:cs="Tahoma"/>
          <w:lang w:val="es-ES"/>
        </w:rPr>
      </w:pPr>
    </w:p>
    <w:p w:rsidR="00855E69" w:rsidRPr="00963F48" w:rsidRDefault="00855E69" w:rsidP="00295F19">
      <w:pPr>
        <w:spacing w:after="0"/>
        <w:jc w:val="both"/>
        <w:rPr>
          <w:rFonts w:ascii="Tahoma" w:hAnsi="Tahoma" w:cs="Tahoma"/>
          <w:b/>
          <w:lang w:val="es-ES"/>
        </w:rPr>
      </w:pPr>
      <w:r w:rsidRPr="00963F48">
        <w:rPr>
          <w:rFonts w:ascii="Tahoma" w:hAnsi="Tahoma" w:cs="Tahoma"/>
          <w:b/>
          <w:lang w:val="es-ES"/>
        </w:rPr>
        <w:t>Día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5"/>
        <w:gridCol w:w="2867"/>
        <w:gridCol w:w="2270"/>
        <w:gridCol w:w="2054"/>
      </w:tblGrid>
      <w:tr w:rsidR="00CD704C" w:rsidRPr="00A3094C" w:rsidTr="00F75FDD">
        <w:tc>
          <w:tcPr>
            <w:tcW w:w="2385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8:3</w:t>
            </w:r>
            <w:r w:rsidRPr="00A3094C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7191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Registro</w:t>
            </w:r>
          </w:p>
        </w:tc>
      </w:tr>
      <w:tr w:rsidR="003B5783" w:rsidRPr="00A3094C" w:rsidTr="003B5783">
        <w:tc>
          <w:tcPr>
            <w:tcW w:w="2385" w:type="dxa"/>
          </w:tcPr>
          <w:p w:rsidR="003B5783" w:rsidRPr="00A3094C" w:rsidRDefault="004B623B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9:0</w:t>
            </w:r>
            <w:r w:rsidR="003B5783" w:rsidRPr="00A3094C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2867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Módulo</w:t>
            </w:r>
            <w:r w:rsidR="008C2F7F">
              <w:rPr>
                <w:rFonts w:ascii="Tahoma" w:hAnsi="Tahoma" w:cs="Tahoma"/>
                <w:lang w:val="es-ES"/>
              </w:rPr>
              <w:t xml:space="preserve"> VI</w:t>
            </w:r>
            <w:r w:rsidR="00B330E4">
              <w:rPr>
                <w:rFonts w:ascii="Tahoma" w:hAnsi="Tahoma" w:cs="Tahoma"/>
                <w:lang w:val="es-ES"/>
              </w:rPr>
              <w:t>I</w:t>
            </w:r>
            <w:r w:rsidRPr="00A3094C">
              <w:rPr>
                <w:rFonts w:ascii="Tahoma" w:hAnsi="Tahoma" w:cs="Tahoma"/>
                <w:lang w:val="es-ES"/>
              </w:rPr>
              <w:t xml:space="preserve">: Derecho a la nacionalidad en el Perú, legislación y </w:t>
            </w:r>
            <w:r>
              <w:rPr>
                <w:rFonts w:ascii="Tahoma" w:hAnsi="Tahoma" w:cs="Tahoma"/>
                <w:lang w:val="es-ES"/>
              </w:rPr>
              <w:t xml:space="preserve">estándares en la jurisprudencia </w:t>
            </w:r>
            <w:r w:rsidRPr="00A3094C">
              <w:rPr>
                <w:rFonts w:ascii="Tahoma" w:hAnsi="Tahoma" w:cs="Tahoma"/>
                <w:lang w:val="es-ES"/>
              </w:rPr>
              <w:t>peruana</w:t>
            </w:r>
          </w:p>
        </w:tc>
        <w:tc>
          <w:tcPr>
            <w:tcW w:w="2270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Oscar Andrés Pazo Pineda</w:t>
            </w:r>
          </w:p>
        </w:tc>
        <w:tc>
          <w:tcPr>
            <w:tcW w:w="2054" w:type="dxa"/>
          </w:tcPr>
          <w:p w:rsidR="003B5783" w:rsidRDefault="009F6E07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Tribunal Constitucional </w:t>
            </w:r>
            <w:r w:rsidR="00295F19">
              <w:rPr>
                <w:rFonts w:ascii="Tahoma" w:hAnsi="Tahoma" w:cs="Tahoma"/>
                <w:lang w:val="es-ES"/>
              </w:rPr>
              <w:t xml:space="preserve">del </w:t>
            </w:r>
            <w:r>
              <w:rPr>
                <w:rFonts w:ascii="Tahoma" w:hAnsi="Tahoma" w:cs="Tahoma"/>
                <w:lang w:val="es-ES"/>
              </w:rPr>
              <w:t>Perú</w:t>
            </w:r>
          </w:p>
        </w:tc>
      </w:tr>
      <w:tr w:rsidR="003B5783" w:rsidRPr="00B33231" w:rsidTr="003B5783">
        <w:tc>
          <w:tcPr>
            <w:tcW w:w="2385" w:type="dxa"/>
          </w:tcPr>
          <w:p w:rsidR="003B5783" w:rsidRPr="00A3094C" w:rsidRDefault="004B623B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</w:t>
            </w:r>
            <w:r w:rsidR="003B5783" w:rsidRPr="00A3094C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15</w:t>
            </w:r>
          </w:p>
        </w:tc>
        <w:tc>
          <w:tcPr>
            <w:tcW w:w="2867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Módulo</w:t>
            </w:r>
            <w:r w:rsidR="008C2F7F">
              <w:rPr>
                <w:rFonts w:ascii="Tahoma" w:hAnsi="Tahoma" w:cs="Tahoma"/>
                <w:lang w:val="es-ES"/>
              </w:rPr>
              <w:t xml:space="preserve"> VI</w:t>
            </w:r>
            <w:r w:rsidR="00B330E4">
              <w:rPr>
                <w:rFonts w:ascii="Tahoma" w:hAnsi="Tahoma" w:cs="Tahoma"/>
                <w:lang w:val="es-ES"/>
              </w:rPr>
              <w:t>I</w:t>
            </w:r>
            <w:r w:rsidR="008C2F7F">
              <w:rPr>
                <w:rFonts w:ascii="Tahoma" w:hAnsi="Tahoma" w:cs="Tahoma"/>
                <w:lang w:val="es-ES"/>
              </w:rPr>
              <w:t>I</w:t>
            </w:r>
            <w:r>
              <w:rPr>
                <w:rFonts w:ascii="Tahoma" w:hAnsi="Tahoma" w:cs="Tahoma"/>
                <w:lang w:val="es-ES"/>
              </w:rPr>
              <w:t>: Identificando la apatridia</w:t>
            </w:r>
            <w:r w:rsidR="00554F24">
              <w:rPr>
                <w:rFonts w:ascii="Tahoma" w:hAnsi="Tahoma" w:cs="Tahoma"/>
                <w:lang w:val="es-ES"/>
              </w:rPr>
              <w:t xml:space="preserve"> </w:t>
            </w:r>
          </w:p>
        </w:tc>
        <w:tc>
          <w:tcPr>
            <w:tcW w:w="2270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Ivonne Garza Garza </w:t>
            </w:r>
          </w:p>
        </w:tc>
        <w:tc>
          <w:tcPr>
            <w:tcW w:w="2054" w:type="dxa"/>
          </w:tcPr>
          <w:p w:rsidR="003B5783" w:rsidRDefault="00B33231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Red de las Américas sobre Nacionalidad y Apatridia</w:t>
            </w:r>
          </w:p>
        </w:tc>
      </w:tr>
      <w:tr w:rsidR="00CD704C" w:rsidRPr="00A3094C" w:rsidTr="009B32D9">
        <w:tc>
          <w:tcPr>
            <w:tcW w:w="2385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11:15</w:t>
            </w:r>
          </w:p>
        </w:tc>
        <w:tc>
          <w:tcPr>
            <w:tcW w:w="7191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Receso</w:t>
            </w:r>
          </w:p>
        </w:tc>
      </w:tr>
      <w:tr w:rsidR="003B5783" w:rsidRPr="00392335" w:rsidTr="003B5783">
        <w:tc>
          <w:tcPr>
            <w:tcW w:w="2385" w:type="dxa"/>
          </w:tcPr>
          <w:p w:rsidR="003B5783" w:rsidRPr="00A3094C" w:rsidRDefault="00B330E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11:30</w:t>
            </w:r>
          </w:p>
        </w:tc>
        <w:tc>
          <w:tcPr>
            <w:tcW w:w="2867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Módulo</w:t>
            </w:r>
            <w:r w:rsidR="00B33231">
              <w:rPr>
                <w:rFonts w:ascii="Tahoma" w:hAnsi="Tahoma" w:cs="Tahoma"/>
                <w:lang w:val="es-ES"/>
              </w:rPr>
              <w:t xml:space="preserve"> IX</w:t>
            </w:r>
            <w:r w:rsidRPr="00C93E87">
              <w:rPr>
                <w:rFonts w:ascii="Tahoma" w:hAnsi="Tahoma" w:cs="Tahoma"/>
                <w:lang w:val="es-ES"/>
              </w:rPr>
              <w:t>: Retos y compromisos</w:t>
            </w:r>
          </w:p>
        </w:tc>
        <w:tc>
          <w:tcPr>
            <w:tcW w:w="2270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César Ruiz</w:t>
            </w:r>
          </w:p>
        </w:tc>
        <w:tc>
          <w:tcPr>
            <w:tcW w:w="2054" w:type="dxa"/>
          </w:tcPr>
          <w:p w:rsidR="003B5783" w:rsidRDefault="00392335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ENCUENTROS Servicio Jesuita de la Solidaridad</w:t>
            </w:r>
          </w:p>
        </w:tc>
      </w:tr>
      <w:tr w:rsidR="003B5783" w:rsidRPr="00F46AFE" w:rsidTr="003B5783">
        <w:tc>
          <w:tcPr>
            <w:tcW w:w="2385" w:type="dxa"/>
          </w:tcPr>
          <w:p w:rsidR="003B5783" w:rsidRPr="00A3094C" w:rsidRDefault="00B330E4" w:rsidP="00295F19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12:40</w:t>
            </w:r>
          </w:p>
        </w:tc>
        <w:tc>
          <w:tcPr>
            <w:tcW w:w="2867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 xml:space="preserve">Entrega de constancias de participación </w:t>
            </w:r>
          </w:p>
        </w:tc>
        <w:tc>
          <w:tcPr>
            <w:tcW w:w="2270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054" w:type="dxa"/>
          </w:tcPr>
          <w:p w:rsidR="003B5783" w:rsidRPr="00A3094C" w:rsidRDefault="003B5783" w:rsidP="00295F1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CD704C" w:rsidRPr="00A3094C" w:rsidTr="00FA66E6">
        <w:tc>
          <w:tcPr>
            <w:tcW w:w="2385" w:type="dxa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13:00</w:t>
            </w:r>
          </w:p>
        </w:tc>
        <w:tc>
          <w:tcPr>
            <w:tcW w:w="7191" w:type="dxa"/>
            <w:gridSpan w:val="3"/>
          </w:tcPr>
          <w:p w:rsidR="00CD704C" w:rsidRPr="00A3094C" w:rsidRDefault="00CD704C" w:rsidP="00295F19">
            <w:pPr>
              <w:jc w:val="both"/>
              <w:rPr>
                <w:rFonts w:ascii="Tahoma" w:hAnsi="Tahoma" w:cs="Tahoma"/>
                <w:lang w:val="es-ES"/>
              </w:rPr>
            </w:pPr>
            <w:r w:rsidRPr="00A3094C">
              <w:rPr>
                <w:rFonts w:ascii="Tahoma" w:hAnsi="Tahoma" w:cs="Tahoma"/>
                <w:lang w:val="es-ES"/>
              </w:rPr>
              <w:t>Salida</w:t>
            </w:r>
          </w:p>
        </w:tc>
      </w:tr>
    </w:tbl>
    <w:p w:rsidR="00810849" w:rsidRDefault="00855E69" w:rsidP="00810849">
      <w:pPr>
        <w:spacing w:after="0"/>
        <w:ind w:left="2880" w:hanging="2880"/>
        <w:rPr>
          <w:rFonts w:ascii="Tahoma" w:hAnsi="Tahoma" w:cs="Tahoma"/>
          <w:lang w:val="es-ES"/>
        </w:rPr>
      </w:pPr>
      <w:r w:rsidRPr="00A3094C">
        <w:rPr>
          <w:rFonts w:ascii="Tahoma" w:hAnsi="Tahoma" w:cs="Tahoma"/>
          <w:lang w:val="es-ES"/>
        </w:rPr>
        <w:tab/>
      </w:r>
    </w:p>
    <w:p w:rsidR="00810849" w:rsidRDefault="00810849" w:rsidP="00810849">
      <w:pPr>
        <w:spacing w:after="0"/>
        <w:ind w:left="2880" w:hanging="2880"/>
        <w:rPr>
          <w:rFonts w:ascii="Tahoma" w:hAnsi="Tahoma" w:cs="Tahoma"/>
          <w:lang w:val="es-ES"/>
        </w:rPr>
      </w:pPr>
    </w:p>
    <w:p w:rsidR="00232D5C" w:rsidRDefault="00855E69" w:rsidP="00810849">
      <w:pPr>
        <w:spacing w:after="0"/>
        <w:rPr>
          <w:rFonts w:ascii="Tahoma" w:hAnsi="Tahoma" w:cs="Tahoma"/>
          <w:lang w:val="es-ES"/>
        </w:rPr>
      </w:pPr>
      <w:r w:rsidRPr="00A3094C">
        <w:rPr>
          <w:rFonts w:ascii="Tahoma" w:hAnsi="Tahoma" w:cs="Tahoma"/>
          <w:lang w:val="es-ES"/>
        </w:rPr>
        <w:tab/>
      </w:r>
      <w:r w:rsidRPr="00A3094C">
        <w:rPr>
          <w:rFonts w:ascii="Tahoma" w:hAnsi="Tahoma" w:cs="Tahoma"/>
          <w:lang w:val="es-ES"/>
        </w:rPr>
        <w:tab/>
      </w:r>
    </w:p>
    <w:p w:rsidR="000F67D0" w:rsidRDefault="000F67D0" w:rsidP="00810849">
      <w:pPr>
        <w:spacing w:after="0"/>
        <w:ind w:left="2880" w:hanging="2880"/>
        <w:rPr>
          <w:rFonts w:ascii="Tahoma" w:hAnsi="Tahoma" w:cs="Tahoma"/>
          <w:lang w:val="es-ES"/>
        </w:rPr>
      </w:pPr>
    </w:p>
    <w:sectPr w:rsidR="000F67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D0" w:rsidRDefault="00B666D0" w:rsidP="00B666D0">
      <w:pPr>
        <w:spacing w:after="0" w:line="240" w:lineRule="auto"/>
      </w:pPr>
      <w:r>
        <w:separator/>
      </w:r>
    </w:p>
  </w:endnote>
  <w:endnote w:type="continuationSeparator" w:id="0">
    <w:p w:rsidR="00B666D0" w:rsidRDefault="00B666D0" w:rsidP="00B6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D0" w:rsidRDefault="00B666D0" w:rsidP="00B666D0">
      <w:pPr>
        <w:spacing w:after="0" w:line="240" w:lineRule="auto"/>
      </w:pPr>
      <w:r>
        <w:separator/>
      </w:r>
    </w:p>
  </w:footnote>
  <w:footnote w:type="continuationSeparator" w:id="0">
    <w:p w:rsidR="00B666D0" w:rsidRDefault="00B666D0" w:rsidP="00B6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D0" w:rsidRDefault="00B666D0">
    <w:pPr>
      <w:pStyle w:val="Encabezado"/>
    </w:pPr>
    <w:r>
      <w:rPr>
        <w:noProof/>
        <w:lang w:val="es-PE" w:eastAsia="es-PE"/>
      </w:rPr>
      <w:drawing>
        <wp:inline distT="0" distB="0" distL="0" distR="0" wp14:anchorId="0D41C4B2" wp14:editId="2F2385E8">
          <wp:extent cx="5943600" cy="2466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lerpe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6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6D0" w:rsidRDefault="00B66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9"/>
    <w:rsid w:val="00000CBC"/>
    <w:rsid w:val="00013812"/>
    <w:rsid w:val="000B6820"/>
    <w:rsid w:val="000F67D0"/>
    <w:rsid w:val="0019153D"/>
    <w:rsid w:val="00232D5C"/>
    <w:rsid w:val="0023428B"/>
    <w:rsid w:val="00295F19"/>
    <w:rsid w:val="002C04AC"/>
    <w:rsid w:val="00333E52"/>
    <w:rsid w:val="00392335"/>
    <w:rsid w:val="003A44B8"/>
    <w:rsid w:val="003A6056"/>
    <w:rsid w:val="003B5783"/>
    <w:rsid w:val="003D13AC"/>
    <w:rsid w:val="004B623B"/>
    <w:rsid w:val="00554F24"/>
    <w:rsid w:val="005752E7"/>
    <w:rsid w:val="00575D98"/>
    <w:rsid w:val="00681E15"/>
    <w:rsid w:val="006B03CE"/>
    <w:rsid w:val="006F1FA6"/>
    <w:rsid w:val="00755F6B"/>
    <w:rsid w:val="0075624A"/>
    <w:rsid w:val="007905BC"/>
    <w:rsid w:val="00810849"/>
    <w:rsid w:val="008213B8"/>
    <w:rsid w:val="00855E69"/>
    <w:rsid w:val="008C2F7F"/>
    <w:rsid w:val="00963F48"/>
    <w:rsid w:val="009744D1"/>
    <w:rsid w:val="009F6E07"/>
    <w:rsid w:val="00A3094C"/>
    <w:rsid w:val="00AA1798"/>
    <w:rsid w:val="00AA608B"/>
    <w:rsid w:val="00B330E4"/>
    <w:rsid w:val="00B33231"/>
    <w:rsid w:val="00B666D0"/>
    <w:rsid w:val="00BD0C09"/>
    <w:rsid w:val="00C0217D"/>
    <w:rsid w:val="00C93E87"/>
    <w:rsid w:val="00CB6383"/>
    <w:rsid w:val="00CD704C"/>
    <w:rsid w:val="00D65194"/>
    <w:rsid w:val="00DD6699"/>
    <w:rsid w:val="00E725C6"/>
    <w:rsid w:val="00F24720"/>
    <w:rsid w:val="00F46AFE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6D0"/>
  </w:style>
  <w:style w:type="paragraph" w:styleId="Piedepgina">
    <w:name w:val="footer"/>
    <w:basedOn w:val="Normal"/>
    <w:link w:val="PiedepginaCar"/>
    <w:uiPriority w:val="99"/>
    <w:unhideWhenUsed/>
    <w:rsid w:val="00B6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6D0"/>
  </w:style>
  <w:style w:type="paragraph" w:styleId="Textodeglobo">
    <w:name w:val="Balloon Text"/>
    <w:basedOn w:val="Normal"/>
    <w:link w:val="TextodegloboCar"/>
    <w:uiPriority w:val="99"/>
    <w:semiHidden/>
    <w:unhideWhenUsed/>
    <w:rsid w:val="00B6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6D0"/>
  </w:style>
  <w:style w:type="paragraph" w:styleId="Piedepgina">
    <w:name w:val="footer"/>
    <w:basedOn w:val="Normal"/>
    <w:link w:val="PiedepginaCar"/>
    <w:uiPriority w:val="99"/>
    <w:unhideWhenUsed/>
    <w:rsid w:val="00B6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6D0"/>
  </w:style>
  <w:style w:type="paragraph" w:styleId="Textodeglobo">
    <w:name w:val="Balloon Text"/>
    <w:basedOn w:val="Normal"/>
    <w:link w:val="TextodegloboCar"/>
    <w:uiPriority w:val="99"/>
    <w:semiHidden/>
    <w:unhideWhenUsed/>
    <w:rsid w:val="00B6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Garza</dc:creator>
  <cp:lastModifiedBy>Cristina Blanco Vizrreta</cp:lastModifiedBy>
  <cp:revision>2</cp:revision>
  <dcterms:created xsi:type="dcterms:W3CDTF">2016-10-26T15:22:00Z</dcterms:created>
  <dcterms:modified xsi:type="dcterms:W3CDTF">2016-10-26T15:22:00Z</dcterms:modified>
</cp:coreProperties>
</file>